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161D" w14:textId="77777777" w:rsidR="00051088" w:rsidRDefault="00000000">
      <w:pPr>
        <w:pStyle w:val="Title"/>
        <w:spacing w:after="0"/>
      </w:pPr>
      <w:r>
        <w:t>Smartphone-Based Colorimetric Platform with RGB-CIELAB Multivariate Regression and 3D-Printed Illumination for Portable Colorimetric Detection</w:t>
      </w:r>
    </w:p>
    <w:p w14:paraId="20C335EC" w14:textId="77777777" w:rsidR="00051088" w:rsidRDefault="00051088"/>
    <w:p w14:paraId="7BF85AF9" w14:textId="77777777" w:rsidR="00051088" w:rsidRPr="00D0034E" w:rsidRDefault="00000000">
      <w:pPr>
        <w:spacing w:after="120"/>
        <w:ind w:firstLine="0"/>
        <w:jc w:val="center"/>
        <w:rPr>
          <w:b/>
          <w:color w:val="000000"/>
          <w:sz w:val="26"/>
          <w:szCs w:val="26"/>
        </w:rPr>
      </w:pPr>
      <w:r w:rsidRPr="00D0034E">
        <w:rPr>
          <w:b/>
          <w:color w:val="000000"/>
          <w:sz w:val="26"/>
          <w:szCs w:val="26"/>
        </w:rPr>
        <w:t>Robeth Viktoria Manurung</w:t>
      </w:r>
      <w:r w:rsidRPr="00D0034E">
        <w:rPr>
          <w:b/>
          <w:color w:val="000000"/>
          <w:sz w:val="26"/>
          <w:szCs w:val="26"/>
          <w:vertAlign w:val="superscript"/>
        </w:rPr>
        <w:t>a*</w:t>
      </w:r>
      <w:r w:rsidRPr="00D0034E">
        <w:rPr>
          <w:b/>
          <w:color w:val="000000"/>
          <w:sz w:val="26"/>
          <w:szCs w:val="26"/>
        </w:rPr>
        <w:t>, Jonathan Edwards Telaumbanua</w:t>
      </w:r>
      <w:r w:rsidRPr="00D0034E">
        <w:rPr>
          <w:b/>
          <w:color w:val="000000"/>
          <w:sz w:val="26"/>
          <w:szCs w:val="26"/>
          <w:vertAlign w:val="superscript"/>
        </w:rPr>
        <w:t>b</w:t>
      </w:r>
      <w:r w:rsidRPr="00D0034E">
        <w:rPr>
          <w:b/>
          <w:color w:val="000000"/>
          <w:sz w:val="26"/>
          <w:szCs w:val="26"/>
        </w:rPr>
        <w:t>, Richard Anthony Lim</w:t>
      </w:r>
      <w:r w:rsidRPr="00D0034E">
        <w:rPr>
          <w:b/>
          <w:color w:val="000000"/>
          <w:sz w:val="26"/>
          <w:szCs w:val="26"/>
          <w:vertAlign w:val="superscript"/>
        </w:rPr>
        <w:t>b</w:t>
      </w:r>
      <w:r w:rsidRPr="00D0034E">
        <w:rPr>
          <w:b/>
          <w:color w:val="000000"/>
          <w:sz w:val="26"/>
          <w:szCs w:val="26"/>
        </w:rPr>
        <w:t>, Winda Astuti</w:t>
      </w:r>
      <w:r w:rsidRPr="00D0034E">
        <w:rPr>
          <w:b/>
          <w:color w:val="000000"/>
          <w:sz w:val="26"/>
          <w:szCs w:val="26"/>
          <w:vertAlign w:val="superscript"/>
        </w:rPr>
        <w:t>b</w:t>
      </w:r>
      <w:r w:rsidRPr="00D0034E">
        <w:rPr>
          <w:b/>
          <w:color w:val="000000"/>
          <w:sz w:val="26"/>
          <w:szCs w:val="26"/>
        </w:rPr>
        <w:t>, Dedi</w:t>
      </w:r>
      <w:r w:rsidRPr="00D0034E">
        <w:rPr>
          <w:b/>
          <w:color w:val="000000"/>
          <w:sz w:val="26"/>
          <w:szCs w:val="26"/>
          <w:vertAlign w:val="superscript"/>
        </w:rPr>
        <w:t>a</w:t>
      </w:r>
      <w:r w:rsidRPr="00D0034E">
        <w:rPr>
          <w:b/>
          <w:color w:val="000000"/>
          <w:sz w:val="26"/>
          <w:szCs w:val="26"/>
        </w:rPr>
        <w:t>, Agustina Sus Andreani</w:t>
      </w:r>
      <w:r w:rsidRPr="00D0034E">
        <w:rPr>
          <w:b/>
          <w:color w:val="000000"/>
          <w:sz w:val="26"/>
          <w:szCs w:val="26"/>
          <w:vertAlign w:val="superscript"/>
        </w:rPr>
        <w:t>c</w:t>
      </w:r>
      <w:r w:rsidRPr="00D0034E">
        <w:rPr>
          <w:b/>
          <w:color w:val="000000"/>
          <w:sz w:val="26"/>
          <w:szCs w:val="26"/>
        </w:rPr>
        <w:t xml:space="preserve"> </w:t>
      </w:r>
    </w:p>
    <w:p w14:paraId="01C70429" w14:textId="77777777" w:rsidR="00051088" w:rsidRDefault="00000000">
      <w:pPr>
        <w:ind w:firstLine="0"/>
        <w:jc w:val="center"/>
        <w:rPr>
          <w:i/>
          <w:color w:val="000000"/>
          <w:sz w:val="18"/>
          <w:szCs w:val="18"/>
        </w:rPr>
      </w:pPr>
      <w:r>
        <w:rPr>
          <w:i/>
          <w:color w:val="000000"/>
          <w:sz w:val="18"/>
          <w:szCs w:val="18"/>
          <w:vertAlign w:val="superscript"/>
        </w:rPr>
        <w:t>a</w:t>
      </w:r>
      <w:r>
        <w:rPr>
          <w:i/>
          <w:color w:val="000000"/>
          <w:sz w:val="18"/>
          <w:szCs w:val="18"/>
        </w:rPr>
        <w:t>Research Center for Electronics</w:t>
      </w:r>
    </w:p>
    <w:p w14:paraId="4AF75C8E" w14:textId="77777777" w:rsidR="00051088" w:rsidRDefault="00000000">
      <w:pPr>
        <w:ind w:firstLine="0"/>
        <w:jc w:val="center"/>
        <w:rPr>
          <w:i/>
          <w:color w:val="000000"/>
          <w:sz w:val="18"/>
          <w:szCs w:val="18"/>
        </w:rPr>
      </w:pPr>
      <w:r>
        <w:rPr>
          <w:i/>
          <w:color w:val="000000"/>
          <w:sz w:val="18"/>
          <w:szCs w:val="18"/>
        </w:rPr>
        <w:t>National Research and Innovation Agency, Republic of Indonesia</w:t>
      </w:r>
    </w:p>
    <w:p w14:paraId="0EA68E41" w14:textId="77777777" w:rsidR="00051088" w:rsidRDefault="00000000">
      <w:pPr>
        <w:ind w:firstLine="0"/>
        <w:jc w:val="center"/>
        <w:rPr>
          <w:i/>
          <w:color w:val="000000"/>
          <w:sz w:val="18"/>
          <w:szCs w:val="18"/>
        </w:rPr>
      </w:pPr>
      <w:r>
        <w:rPr>
          <w:i/>
          <w:color w:val="000000"/>
          <w:sz w:val="18"/>
          <w:szCs w:val="18"/>
        </w:rPr>
        <w:t>KST Samaun Samadikun, Jl. Cisitu No.21/154D</w:t>
      </w:r>
    </w:p>
    <w:p w14:paraId="26AC15DA" w14:textId="77777777" w:rsidR="00051088" w:rsidRDefault="00000000">
      <w:pPr>
        <w:ind w:firstLine="0"/>
        <w:jc w:val="center"/>
        <w:rPr>
          <w:i/>
          <w:color w:val="000000"/>
          <w:sz w:val="18"/>
          <w:szCs w:val="18"/>
        </w:rPr>
      </w:pPr>
      <w:r>
        <w:rPr>
          <w:i/>
          <w:color w:val="000000"/>
          <w:sz w:val="18"/>
          <w:szCs w:val="18"/>
        </w:rPr>
        <w:t>Bandung, Indonesia</w:t>
      </w:r>
      <w:r>
        <w:rPr>
          <w:i/>
          <w:color w:val="000000"/>
          <w:sz w:val="18"/>
          <w:szCs w:val="18"/>
        </w:rPr>
        <w:br/>
      </w:r>
      <w:r>
        <w:rPr>
          <w:i/>
          <w:color w:val="000000"/>
          <w:sz w:val="18"/>
          <w:szCs w:val="18"/>
          <w:vertAlign w:val="superscript"/>
        </w:rPr>
        <w:t>b</w:t>
      </w:r>
      <w:r>
        <w:rPr>
          <w:i/>
          <w:color w:val="000000"/>
          <w:sz w:val="18"/>
          <w:szCs w:val="18"/>
        </w:rPr>
        <w:t>Automotive and Robotics Program, Computer Engineering Department,</w:t>
      </w:r>
    </w:p>
    <w:p w14:paraId="32CF158D" w14:textId="77777777" w:rsidR="00051088" w:rsidRDefault="00000000">
      <w:pPr>
        <w:ind w:firstLine="0"/>
        <w:jc w:val="center"/>
        <w:rPr>
          <w:i/>
          <w:color w:val="000000"/>
          <w:sz w:val="18"/>
          <w:szCs w:val="18"/>
        </w:rPr>
      </w:pPr>
      <w:r>
        <w:rPr>
          <w:i/>
          <w:color w:val="000000"/>
          <w:sz w:val="18"/>
          <w:szCs w:val="18"/>
        </w:rPr>
        <w:t>BINUS ASO School of Engineering, Bina Nusantara University,</w:t>
      </w:r>
    </w:p>
    <w:p w14:paraId="19C6152C" w14:textId="77777777" w:rsidR="00051088" w:rsidRDefault="00000000">
      <w:pPr>
        <w:ind w:firstLine="0"/>
        <w:jc w:val="center"/>
        <w:rPr>
          <w:i/>
          <w:color w:val="000000"/>
          <w:sz w:val="18"/>
          <w:szCs w:val="18"/>
        </w:rPr>
      </w:pPr>
      <w:r>
        <w:rPr>
          <w:i/>
          <w:color w:val="000000"/>
          <w:sz w:val="18"/>
          <w:szCs w:val="18"/>
        </w:rPr>
        <w:t>Jakarta, Indonesia 11480</w:t>
      </w:r>
    </w:p>
    <w:p w14:paraId="5F26E5DD" w14:textId="77777777" w:rsidR="00051088" w:rsidRDefault="00000000">
      <w:pPr>
        <w:ind w:firstLine="0"/>
        <w:jc w:val="center"/>
        <w:rPr>
          <w:i/>
          <w:color w:val="000000"/>
          <w:sz w:val="18"/>
          <w:szCs w:val="18"/>
        </w:rPr>
      </w:pPr>
      <w:r>
        <w:rPr>
          <w:i/>
          <w:color w:val="000000"/>
          <w:sz w:val="18"/>
          <w:szCs w:val="18"/>
          <w:vertAlign w:val="superscript"/>
        </w:rPr>
        <w:t>c</w:t>
      </w:r>
      <w:r>
        <w:rPr>
          <w:i/>
          <w:color w:val="000000"/>
          <w:sz w:val="18"/>
          <w:szCs w:val="18"/>
        </w:rPr>
        <w:t xml:space="preserve">Research Center for Chemistry, National Research and Innovation Agency (BRIN), </w:t>
      </w:r>
    </w:p>
    <w:p w14:paraId="724D47EB" w14:textId="77777777" w:rsidR="00051088" w:rsidRDefault="00000000">
      <w:pPr>
        <w:ind w:firstLine="0"/>
        <w:jc w:val="center"/>
        <w:rPr>
          <w:i/>
          <w:color w:val="000000"/>
          <w:sz w:val="18"/>
          <w:szCs w:val="18"/>
        </w:rPr>
      </w:pPr>
      <w:r>
        <w:rPr>
          <w:i/>
          <w:color w:val="000000"/>
          <w:sz w:val="18"/>
          <w:szCs w:val="18"/>
        </w:rPr>
        <w:t>PUSPIPTEK, Build. 452, Serpong, South Tangerang, 15314</w:t>
      </w:r>
    </w:p>
    <w:p w14:paraId="19CCED26" w14:textId="0ADC94CF" w:rsidR="00051088" w:rsidRDefault="00000000">
      <w:pPr>
        <w:ind w:firstLine="0"/>
        <w:jc w:val="center"/>
        <w:rPr>
          <w:i/>
          <w:color w:val="000000"/>
          <w:sz w:val="18"/>
          <w:szCs w:val="18"/>
        </w:rPr>
      </w:pPr>
      <w:r>
        <w:rPr>
          <w:i/>
          <w:color w:val="000000"/>
          <w:sz w:val="18"/>
          <w:szCs w:val="18"/>
        </w:rPr>
        <w:t>Banten, Indonesia</w:t>
      </w:r>
    </w:p>
    <w:p w14:paraId="0AB7AC70" w14:textId="77777777" w:rsidR="00051088" w:rsidRDefault="00051088">
      <w:pPr>
        <w:pStyle w:val="AuthorAfiliation"/>
        <w:pBdr>
          <w:bottom w:val="single" w:sz="6" w:space="1" w:color="000000"/>
        </w:pBdr>
        <w:rPr>
          <w:i w:val="0"/>
          <w:iCs/>
          <w:color w:val="FF0000"/>
          <w:sz w:val="18"/>
          <w:szCs w:val="18"/>
        </w:rPr>
      </w:pPr>
    </w:p>
    <w:p w14:paraId="435EF05F" w14:textId="77777777" w:rsidR="00051088" w:rsidRDefault="00000000">
      <w:pPr>
        <w:spacing w:before="120" w:after="120"/>
        <w:ind w:firstLine="0"/>
        <w:jc w:val="center"/>
        <w:rPr>
          <w:b/>
          <w:sz w:val="18"/>
          <w:szCs w:val="18"/>
        </w:rPr>
      </w:pPr>
      <w:r>
        <w:rPr>
          <w:b/>
          <w:sz w:val="18"/>
          <w:szCs w:val="18"/>
        </w:rPr>
        <w:t>Abstract</w:t>
      </w:r>
    </w:p>
    <w:p w14:paraId="2C384262" w14:textId="4B45813F" w:rsidR="00051088" w:rsidRDefault="00000000" w:rsidP="0057198C">
      <w:pPr>
        <w:rPr>
          <w:sz w:val="18"/>
          <w:szCs w:val="18"/>
        </w:rPr>
      </w:pPr>
      <w:bookmarkStart w:id="0" w:name="_Hlk214269851"/>
      <w:r>
        <w:rPr>
          <w:sz w:val="18"/>
          <w:szCs w:val="18"/>
        </w:rPr>
        <w:t>Smartphone-based colorimetry has become an effective alternative to bulky, costly spectrophotometers, especially for portable and field-based analysis. This study aims to develop Colorizer, a modular smartphone-based colorimetric platform designed to deliver accurate and affordable measurements for environmental, chemical, and biomedical uses. The system integrates a custom Android app with a 3D-printed sampling station that features controlled LED lighting, RGB-to-CIELAB conversion, calibration blanking, and multivariate regression modeling to ensure consistent results across devices. Illumination is controlled by an ESP32 microcontroller and activated via Bluetooth within a light-tight chamber to minimize ambient interference. Additional validation includes measuring multiple concentrations, benchmarking against standard spectrophotometers, and calibrating across different smartphones. Results indicate that Colorizer maintains high linearity across red, yellow, and blue dyes (R² up to 0.9952), shows improved stability with the sampling station, and aligns well with spectrophotometric calibration curves. These findings demonstrate that the platform offers reproducible, portable performance while functioning fully offline with local calibration storage. Colorizer provides a practical, low-cost alternative to benchtop spectrophotometers for routine colorimetric analysis. The platform presents a compact, scalable framework for portable analyte detection and sets the stage for future expansion into multi-indicator sensing applications.</w:t>
      </w:r>
      <w:bookmarkEnd w:id="0"/>
    </w:p>
    <w:p w14:paraId="039491EE" w14:textId="77777777" w:rsidR="0057198C" w:rsidRDefault="0057198C" w:rsidP="0057198C">
      <w:pPr>
        <w:rPr>
          <w:sz w:val="18"/>
          <w:szCs w:val="18"/>
        </w:rPr>
      </w:pPr>
    </w:p>
    <w:p w14:paraId="0557633A" w14:textId="0115EE04" w:rsidR="00051088" w:rsidRDefault="00000000" w:rsidP="0057198C">
      <w:pPr>
        <w:ind w:firstLine="0"/>
        <w:rPr>
          <w:szCs w:val="18"/>
        </w:rPr>
      </w:pPr>
      <w:r>
        <w:rPr>
          <w:rStyle w:val="IEEEAbstractHeadingChar"/>
          <w:i w:val="0"/>
          <w:szCs w:val="18"/>
        </w:rPr>
        <w:t>Keywords:</w:t>
      </w:r>
      <w:r>
        <w:rPr>
          <w:rStyle w:val="IEEEAbtractChar"/>
          <w:b w:val="0"/>
          <w:szCs w:val="18"/>
        </w:rPr>
        <w:t xml:space="preserve"> </w:t>
      </w:r>
      <w:r w:rsidR="00302E85">
        <w:rPr>
          <w:rStyle w:val="IEEEAbtractChar"/>
          <w:b w:val="0"/>
          <w:szCs w:val="18"/>
        </w:rPr>
        <w:t xml:space="preserve">Controlled Illumination, Digital Image Colorimetry, Low-Cost Diagnostics, Multivariate Regression, Point-of-Care Testing, Portable Analytical Devices, </w:t>
      </w:r>
      <w:r>
        <w:rPr>
          <w:rStyle w:val="IEEEAbtractChar"/>
          <w:b w:val="0"/>
          <w:szCs w:val="18"/>
        </w:rPr>
        <w:t>Smartphone-based Colorimetry.</w:t>
      </w:r>
    </w:p>
    <w:p w14:paraId="04864F56" w14:textId="77777777" w:rsidR="00051088" w:rsidRDefault="00051088">
      <w:pPr>
        <w:pBdr>
          <w:bottom w:val="single" w:sz="6" w:space="1" w:color="000000"/>
        </w:pBdr>
        <w:ind w:firstLine="0"/>
        <w:rPr>
          <w:i/>
          <w:color w:val="FF0000"/>
          <w:szCs w:val="18"/>
        </w:rPr>
      </w:pPr>
    </w:p>
    <w:p w14:paraId="2F9E509D" w14:textId="77777777" w:rsidR="00051088" w:rsidRDefault="00051088">
      <w:pPr>
        <w:rPr>
          <w:color w:val="FF0000"/>
          <w:lang w:val="en-US"/>
        </w:rPr>
      </w:pPr>
    </w:p>
    <w:p w14:paraId="6ED96617" w14:textId="77777777" w:rsidR="00051088" w:rsidRDefault="00051088">
      <w:pPr>
        <w:sectPr w:rsidR="00051088" w:rsidSect="008A0AF2">
          <w:headerReference w:type="even" r:id="rId8"/>
          <w:headerReference w:type="default" r:id="rId9"/>
          <w:footerReference w:type="even" r:id="rId10"/>
          <w:footerReference w:type="default" r:id="rId11"/>
          <w:headerReference w:type="first" r:id="rId12"/>
          <w:pgSz w:w="11906" w:h="16838"/>
          <w:pgMar w:top="1134" w:right="1134" w:bottom="1134" w:left="1418" w:header="720" w:footer="720" w:gutter="0"/>
          <w:cols w:space="720"/>
          <w:formProt w:val="0"/>
          <w:titlePg/>
          <w:docGrid w:linePitch="600" w:charSpace="40960"/>
        </w:sectPr>
      </w:pPr>
    </w:p>
    <w:p w14:paraId="252E8594" w14:textId="77777777" w:rsidR="00051088" w:rsidRDefault="00000000" w:rsidP="0057198C">
      <w:pPr>
        <w:pStyle w:val="Heading1"/>
        <w:spacing w:before="0"/>
        <w:ind w:left="357" w:hanging="357"/>
      </w:pPr>
      <w:r>
        <w:t>Introduction</w:t>
      </w:r>
    </w:p>
    <w:p w14:paraId="04C7571C" w14:textId="399ADEB0" w:rsidR="00051088" w:rsidRDefault="00250D96" w:rsidP="00AC0E29">
      <w:r>
        <w:rPr>
          <w:noProof/>
          <w:lang w:eastAsia="id-ID"/>
        </w:rPr>
        <mc:AlternateContent>
          <mc:Choice Requires="wps">
            <w:drawing>
              <wp:anchor distT="0" distB="0" distL="114300" distR="114300" simplePos="0" relativeHeight="251659264" behindDoc="1" locked="0" layoutInCell="1" allowOverlap="1" wp14:anchorId="055DD18B" wp14:editId="7B3C7F89">
                <wp:simplePos x="0" y="0"/>
                <wp:positionH relativeFrom="column">
                  <wp:posOffset>-78740</wp:posOffset>
                </wp:positionH>
                <wp:positionV relativeFrom="margin">
                  <wp:posOffset>7973695</wp:posOffset>
                </wp:positionV>
                <wp:extent cx="2915920" cy="956945"/>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956945"/>
                        </a:xfrm>
                        <a:prstGeom prst="rect">
                          <a:avLst/>
                        </a:prstGeom>
                        <a:noFill/>
                        <a:ln>
                          <a:noFill/>
                        </a:ln>
                        <a:effectLst/>
                      </wps:spPr>
                      <wps:txbx>
                        <w:txbxContent>
                          <w:p w14:paraId="569C49EB" w14:textId="77777777" w:rsidR="00250D96" w:rsidRDefault="00250D96" w:rsidP="00250D96">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Pr>
                                <w:i/>
                                <w:w w:val="104"/>
                                <w:sz w:val="16"/>
                                <w:szCs w:val="16"/>
                              </w:rPr>
                              <w:t xml:space="preserve">* </w:t>
                            </w:r>
                            <w:r>
                              <w:rPr>
                                <w:w w:val="104"/>
                                <w:sz w:val="16"/>
                                <w:szCs w:val="16"/>
                              </w:rPr>
                              <w:t>Corresponding Author</w:t>
                            </w:r>
                            <w:r>
                              <w:rPr>
                                <w:i/>
                                <w:w w:val="104"/>
                                <w:sz w:val="16"/>
                                <w:szCs w:val="16"/>
                              </w:rPr>
                              <w:t xml:space="preserve">. </w:t>
                            </w:r>
                          </w:p>
                          <w:p w14:paraId="44CCB2C2" w14:textId="0F684984" w:rsidR="00250D96" w:rsidRDefault="00250D96" w:rsidP="00250D96">
                            <w:pPr>
                              <w:pStyle w:val="AuthorAfiliation"/>
                              <w:jc w:val="left"/>
                              <w:rPr>
                                <w:i w:val="0"/>
                                <w:szCs w:val="16"/>
                                <w:lang w:val="en-US"/>
                              </w:rPr>
                            </w:pPr>
                            <w:r>
                              <w:rPr>
                                <w:i w:val="0"/>
                                <w:w w:val="104"/>
                                <w:szCs w:val="16"/>
                              </w:rPr>
                              <w:t xml:space="preserve">Email: </w:t>
                            </w:r>
                            <w:r w:rsidRPr="00250D96">
                              <w:rPr>
                                <w:i w:val="0"/>
                                <w:w w:val="104"/>
                                <w:szCs w:val="16"/>
                              </w:rPr>
                              <w:t>robeth.viktoria.manurung@brin.go.id</w:t>
                            </w:r>
                          </w:p>
                          <w:p w14:paraId="7BF29603" w14:textId="34E5BDC4" w:rsidR="00250D96" w:rsidRPr="00891056" w:rsidRDefault="00250D96" w:rsidP="00250D96">
                            <w:pPr>
                              <w:widowControl w:val="0"/>
                              <w:tabs>
                                <w:tab w:val="left" w:pos="1985"/>
                              </w:tabs>
                              <w:autoSpaceDE w:val="0"/>
                              <w:autoSpaceDN w:val="0"/>
                              <w:adjustRightInd w:val="0"/>
                              <w:ind w:right="-28" w:firstLine="0"/>
                              <w:rPr>
                                <w:color w:val="000000" w:themeColor="text1"/>
                                <w:w w:val="104"/>
                                <w:sz w:val="16"/>
                                <w:szCs w:val="16"/>
                                <w:lang w:val="en-US"/>
                              </w:rPr>
                            </w:pPr>
                            <w:r w:rsidRPr="00891056">
                              <w:rPr>
                                <w:color w:val="000000" w:themeColor="text1"/>
                                <w:w w:val="104"/>
                                <w:sz w:val="16"/>
                                <w:szCs w:val="16"/>
                              </w:rPr>
                              <w:t>Received:</w:t>
                            </w:r>
                            <w:r w:rsidRPr="00891056">
                              <w:rPr>
                                <w:color w:val="000000" w:themeColor="text1"/>
                                <w:w w:val="104"/>
                                <w:sz w:val="16"/>
                                <w:szCs w:val="16"/>
                                <w:lang w:val="en-US"/>
                              </w:rPr>
                              <w:t xml:space="preserve"> </w:t>
                            </w:r>
                            <w:r w:rsidR="00AF1ABA" w:rsidRPr="00891056">
                              <w:rPr>
                                <w:color w:val="000000" w:themeColor="text1"/>
                                <w:w w:val="104"/>
                                <w:sz w:val="16"/>
                                <w:szCs w:val="16"/>
                                <w:lang w:val="en-US"/>
                              </w:rPr>
                              <w:t>September 8, 2025</w:t>
                            </w:r>
                            <w:r w:rsidRPr="00891056">
                              <w:rPr>
                                <w:color w:val="000000" w:themeColor="text1"/>
                                <w:w w:val="104"/>
                                <w:sz w:val="16"/>
                                <w:szCs w:val="16"/>
                                <w:lang w:val="en-US"/>
                              </w:rPr>
                              <w:tab/>
                            </w:r>
                            <w:r w:rsidRPr="00891056">
                              <w:rPr>
                                <w:color w:val="000000" w:themeColor="text1"/>
                                <w:w w:val="104"/>
                                <w:sz w:val="16"/>
                                <w:szCs w:val="16"/>
                                <w:lang w:val="en-US"/>
                              </w:rPr>
                              <w:tab/>
                            </w:r>
                            <w:r w:rsidRPr="00891056">
                              <w:rPr>
                                <w:color w:val="000000" w:themeColor="text1"/>
                                <w:w w:val="104"/>
                                <w:sz w:val="16"/>
                                <w:szCs w:val="16"/>
                              </w:rPr>
                              <w:t>;</w:t>
                            </w:r>
                            <w:r w:rsidRPr="00891056">
                              <w:rPr>
                                <w:color w:val="000000" w:themeColor="text1"/>
                                <w:w w:val="104"/>
                                <w:sz w:val="16"/>
                                <w:szCs w:val="16"/>
                                <w:lang w:val="en-US"/>
                              </w:rPr>
                              <w:t xml:space="preserve"> </w:t>
                            </w:r>
                            <w:r w:rsidRPr="00891056">
                              <w:rPr>
                                <w:color w:val="000000" w:themeColor="text1"/>
                                <w:w w:val="104"/>
                                <w:sz w:val="16"/>
                                <w:szCs w:val="16"/>
                              </w:rPr>
                              <w:t xml:space="preserve">Revised: </w:t>
                            </w:r>
                            <w:r w:rsidR="00891056" w:rsidRPr="00891056">
                              <w:rPr>
                                <w:color w:val="000000" w:themeColor="text1"/>
                                <w:w w:val="104"/>
                                <w:sz w:val="16"/>
                                <w:szCs w:val="16"/>
                              </w:rPr>
                              <w:t xml:space="preserve">October 23, </w:t>
                            </w:r>
                            <w:r w:rsidR="00AF1ABA" w:rsidRPr="00891056">
                              <w:rPr>
                                <w:color w:val="000000" w:themeColor="text1"/>
                                <w:w w:val="104"/>
                                <w:sz w:val="16"/>
                                <w:szCs w:val="16"/>
                                <w:lang w:val="en-US"/>
                              </w:rPr>
                              <w:t>2025</w:t>
                            </w:r>
                          </w:p>
                          <w:p w14:paraId="2471F39E" w14:textId="28423F3D" w:rsidR="00250D96" w:rsidRDefault="00250D96" w:rsidP="00250D96">
                            <w:pPr>
                              <w:widowControl w:val="0"/>
                              <w:tabs>
                                <w:tab w:val="left" w:pos="1985"/>
                              </w:tabs>
                              <w:autoSpaceDE w:val="0"/>
                              <w:autoSpaceDN w:val="0"/>
                              <w:adjustRightInd w:val="0"/>
                              <w:ind w:right="-28" w:firstLine="0"/>
                              <w:rPr>
                                <w:color w:val="000000" w:themeColor="text1"/>
                                <w:w w:val="104"/>
                                <w:sz w:val="16"/>
                                <w:szCs w:val="16"/>
                                <w:lang w:val="en-US"/>
                              </w:rPr>
                            </w:pPr>
                            <w:r w:rsidRPr="00891056">
                              <w:rPr>
                                <w:color w:val="000000" w:themeColor="text1"/>
                                <w:w w:val="104"/>
                                <w:sz w:val="16"/>
                                <w:szCs w:val="16"/>
                              </w:rPr>
                              <w:t>Accepted:</w:t>
                            </w:r>
                            <w:r w:rsidRPr="00891056">
                              <w:rPr>
                                <w:color w:val="000000" w:themeColor="text1"/>
                                <w:w w:val="104"/>
                                <w:sz w:val="16"/>
                                <w:szCs w:val="16"/>
                                <w:lang w:val="en-US"/>
                              </w:rPr>
                              <w:t xml:space="preserve"> </w:t>
                            </w:r>
                            <w:r w:rsidR="00891056" w:rsidRPr="00891056">
                              <w:rPr>
                                <w:color w:val="000000" w:themeColor="text1"/>
                                <w:w w:val="104"/>
                                <w:sz w:val="16"/>
                                <w:szCs w:val="16"/>
                                <w:lang w:val="en-US"/>
                              </w:rPr>
                              <w:t xml:space="preserve">November </w:t>
                            </w:r>
                            <w:r w:rsidR="00891056">
                              <w:rPr>
                                <w:color w:val="000000" w:themeColor="text1"/>
                                <w:w w:val="104"/>
                                <w:sz w:val="16"/>
                                <w:szCs w:val="16"/>
                                <w:lang w:val="en-US"/>
                              </w:rPr>
                              <w:t>27</w:t>
                            </w:r>
                            <w:r w:rsidR="00891056" w:rsidRPr="00891056">
                              <w:rPr>
                                <w:color w:val="000000" w:themeColor="text1"/>
                                <w:w w:val="104"/>
                                <w:sz w:val="16"/>
                                <w:szCs w:val="16"/>
                                <w:lang w:val="en-US"/>
                              </w:rPr>
                              <w:t>, 2025</w:t>
                            </w:r>
                            <w:r w:rsidRPr="00891056">
                              <w:rPr>
                                <w:color w:val="000000" w:themeColor="text1"/>
                                <w:w w:val="104"/>
                                <w:sz w:val="16"/>
                                <w:szCs w:val="16"/>
                              </w:rPr>
                              <w:tab/>
                              <w:t xml:space="preserve">; Published: </w:t>
                            </w:r>
                            <w:r w:rsidRPr="00891056">
                              <w:rPr>
                                <w:color w:val="000000" w:themeColor="text1"/>
                                <w:w w:val="104"/>
                                <w:sz w:val="16"/>
                                <w:szCs w:val="16"/>
                                <w:lang w:val="en-US"/>
                              </w:rPr>
                              <w:t xml:space="preserve">December </w:t>
                            </w:r>
                            <w:r w:rsidRPr="00891056">
                              <w:rPr>
                                <w:color w:val="000000" w:themeColor="text1"/>
                                <w:w w:val="104"/>
                                <w:sz w:val="16"/>
                                <w:szCs w:val="16"/>
                              </w:rPr>
                              <w:t>31, 202</w:t>
                            </w:r>
                            <w:r w:rsidRPr="00891056">
                              <w:rPr>
                                <w:color w:val="000000" w:themeColor="text1"/>
                                <w:w w:val="104"/>
                                <w:sz w:val="16"/>
                                <w:szCs w:val="16"/>
                                <w:lang w:val="en-US"/>
                              </w:rPr>
                              <w:t>5</w:t>
                            </w:r>
                          </w:p>
                          <w:p w14:paraId="429BB80F" w14:textId="77777777" w:rsidR="00250D96" w:rsidRDefault="00250D96" w:rsidP="00250D96">
                            <w:pPr>
                              <w:widowControl w:val="0"/>
                              <w:tabs>
                                <w:tab w:val="left" w:pos="1985"/>
                              </w:tabs>
                              <w:autoSpaceDE w:val="0"/>
                              <w:autoSpaceDN w:val="0"/>
                              <w:adjustRightInd w:val="0"/>
                              <w:ind w:right="-28" w:firstLine="0"/>
                              <w:rPr>
                                <w:rFonts w:eastAsia="Calibri"/>
                                <w:color w:val="000000" w:themeColor="text1"/>
                                <w:sz w:val="16"/>
                                <w:szCs w:val="16"/>
                                <w:lang w:val="en-US"/>
                              </w:rPr>
                            </w:pPr>
                          </w:p>
                          <w:p w14:paraId="6AF0F21C" w14:textId="77777777" w:rsidR="00250D96" w:rsidRDefault="00250D96" w:rsidP="00250D96">
                            <w:pPr>
                              <w:widowControl w:val="0"/>
                              <w:tabs>
                                <w:tab w:val="left" w:pos="1985"/>
                              </w:tabs>
                              <w:autoSpaceDE w:val="0"/>
                              <w:autoSpaceDN w:val="0"/>
                              <w:adjustRightInd w:val="0"/>
                              <w:ind w:right="-28" w:firstLine="0"/>
                              <w:rPr>
                                <w:rFonts w:eastAsia="Calibri"/>
                                <w:color w:val="000000" w:themeColor="text1"/>
                                <w:sz w:val="16"/>
                                <w:szCs w:val="16"/>
                              </w:rPr>
                            </w:pPr>
                            <w:r>
                              <w:rPr>
                                <w:rFonts w:eastAsia="Calibri"/>
                                <w:color w:val="000000" w:themeColor="text1"/>
                                <w:sz w:val="16"/>
                                <w:szCs w:val="16"/>
                                <w:lang w:val="en-US"/>
                              </w:rPr>
                              <w:t>Open access under CC-BY-NC-SA</w:t>
                            </w:r>
                          </w:p>
                          <w:p w14:paraId="38851422" w14:textId="77777777" w:rsidR="00250D96" w:rsidRDefault="00250D96" w:rsidP="00250D96">
                            <w:pPr>
                              <w:widowControl w:val="0"/>
                              <w:tabs>
                                <w:tab w:val="left" w:pos="1985"/>
                              </w:tabs>
                              <w:autoSpaceDE w:val="0"/>
                              <w:autoSpaceDN w:val="0"/>
                              <w:adjustRightInd w:val="0"/>
                              <w:ind w:right="-28" w:firstLine="0"/>
                              <w:rPr>
                                <w:color w:val="000000" w:themeColor="text1"/>
                                <w:w w:val="104"/>
                                <w:sz w:val="16"/>
                                <w:szCs w:val="16"/>
                              </w:rPr>
                            </w:pPr>
                            <w:r>
                              <w:rPr>
                                <w:color w:val="000000" w:themeColor="text1"/>
                                <w:w w:val="104"/>
                                <w:sz w:val="16"/>
                                <w:szCs w:val="16"/>
                              </w:rPr>
                              <w:sym w:font="Symbol" w:char="F0D3"/>
                            </w:r>
                            <w:r>
                              <w:rPr>
                                <w:color w:val="000000" w:themeColor="text1"/>
                                <w:w w:val="104"/>
                                <w:sz w:val="16"/>
                                <w:szCs w:val="16"/>
                              </w:rPr>
                              <w:t xml:space="preserve"> 202</w:t>
                            </w:r>
                            <w:r>
                              <w:rPr>
                                <w:color w:val="000000" w:themeColor="text1"/>
                                <w:w w:val="104"/>
                                <w:sz w:val="16"/>
                                <w:szCs w:val="16"/>
                                <w:lang w:val="en-US"/>
                              </w:rPr>
                              <w:t>5 BRIN</w:t>
                            </w:r>
                          </w:p>
                          <w:p w14:paraId="64622ED9" w14:textId="77777777" w:rsidR="00250D96" w:rsidRDefault="00250D96" w:rsidP="00250D96">
                            <w:pPr>
                              <w:widowControl w:val="0"/>
                              <w:autoSpaceDE w:val="0"/>
                              <w:autoSpaceDN w:val="0"/>
                              <w:adjustRightInd w:val="0"/>
                              <w:ind w:right="-28" w:firstLine="0"/>
                              <w:jc w:val="left"/>
                              <w:rPr>
                                <w:w w:val="104"/>
                                <w:sz w:val="16"/>
                                <w:szCs w:val="16"/>
                              </w:rPr>
                            </w:pPr>
                            <w:r>
                              <w:rPr>
                                <w:color w:val="FFFFFF"/>
                                <w:w w:val="104"/>
                                <w:sz w:val="16"/>
                                <w:szCs w:val="16"/>
                              </w:rPr>
                              <w:t>25-32</w:t>
                            </w:r>
                          </w:p>
                          <w:p w14:paraId="25AC1426" w14:textId="77777777" w:rsidR="00250D96" w:rsidRDefault="00250D96" w:rsidP="00250D96"/>
                        </w:txbxContent>
                      </wps:txbx>
                      <wps:bodyPr rot="0" vert="horz" wrap="square" lIns="91440" tIns="45720" rIns="91440" bIns="45720" anchor="t" anchorCtr="0" upright="1">
                        <a:noAutofit/>
                      </wps:bodyPr>
                    </wps:wsp>
                  </a:graphicData>
                </a:graphic>
              </wp:anchor>
            </w:drawing>
          </mc:Choice>
          <mc:Fallback>
            <w:pict>
              <v:shapetype w14:anchorId="055DD18B" id="_x0000_t202" coordsize="21600,21600" o:spt="202" path="m,l,21600r21600,l21600,xe">
                <v:stroke joinstyle="miter"/>
                <v:path gradientshapeok="t" o:connecttype="rect"/>
              </v:shapetype>
              <v:shape id="Text Box 22" o:spid="_x0000_s1026" type="#_x0000_t202" style="position:absolute;left:0;text-align:left;margin-left:-6.2pt;margin-top:627.85pt;width:229.6pt;height:75.35pt;z-index:-251657216;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V+4gEAAK8DAAAOAAAAZHJzL2Uyb0RvYy54bWysU1Fv0zAQfkfiP1h+p2mqdpCo6TQ2DSEN&#10;hjT4AY7jJBaJz5zdJuXXc3bSrsDbtBfLvrO/u++7z9vrse/YQaHTYAqeLpacKSOh0qYp+I/v9+8+&#10;cOa8MJXowKiCH5Xj17u3b7aDzdUKWugqhYxAjMsHW/DWe5sniZOt6oVbgFWGkjVgLzwdsUkqFAOh&#10;912yWi6vkgGwsghSOUfRuynJdxG/rpX0j3XtlGddwak3H1eMaxnWZLcVeYPCtlrObYgXdNELbajo&#10;GepOeMH2qP+D6rVEcFD7hYQ+gbrWUkUOxCZd/sPmqRVWRS4kjrNnmdzrwcqvhyf7DZkfP8JIA4wk&#10;nH0A+dMxA7etMI26QYShVaKiwmmQLBmsy+enQWqXuwBSDl+goiGLvYcINNbYB1WIJyN0GsDxLLoa&#10;PZMUXGXpJltRSlIu21xl600sIfLTa4vOf1LQs7ApONJQI7o4PDgfuhH56UooZuBed10cbGf+CtDF&#10;KaKiM+bXp/YnIn4sR3obgiVUR2KFMLmGXE6bFvA3ZwM5puDu116g4qz7bEiZLF2vg8XiYb15Hzjh&#10;Zaa8zAgjCargnrNpe+snW+4t6qalStMsDNyQmrWORJ+7mmdAroj8ZwcH212e463nf7b7AwAA//8D&#10;AFBLAwQUAAYACAAAACEAr9/YHd8AAAANAQAADwAAAGRycy9kb3ducmV2LnhtbEyPzU7DMBCE70i8&#10;g7VI3Fq7kRMgxKkQiCuI8iNxc+NtEhGvo9htwtuznOC4M59mZ6rt4gdxwin2gQxs1goEUhNcT62B&#10;t9fH1TWImCw5OwRCA98YYVufn1W2dGGmFzztUis4hGJpDXQpjaWUsenQ27gOIxJ7hzB5m/icWukm&#10;O3O4H2SmVCG97Yk/dHbE+w6br93RG3h/Onx+aPXcPvh8nMOiJPkbaczlxXJ3CyLhkv5g+K3P1aHm&#10;TvtwJBfFYGC1yTSjbGR5fgWCEa0LXrNnSatCg6wr+X9F/QMAAP//AwBQSwECLQAUAAYACAAAACEA&#10;toM4kv4AAADhAQAAEwAAAAAAAAAAAAAAAAAAAAAAW0NvbnRlbnRfVHlwZXNdLnhtbFBLAQItABQA&#10;BgAIAAAAIQA4/SH/1gAAAJQBAAALAAAAAAAAAAAAAAAAAC8BAABfcmVscy8ucmVsc1BLAQItABQA&#10;BgAIAAAAIQDFuDV+4gEAAK8DAAAOAAAAAAAAAAAAAAAAAC4CAABkcnMvZTJvRG9jLnhtbFBLAQIt&#10;ABQABgAIAAAAIQCv39gd3wAAAA0BAAAPAAAAAAAAAAAAAAAAADwEAABkcnMvZG93bnJldi54bWxQ&#10;SwUGAAAAAAQABADzAAAASAUAAAAA&#10;" filled="f" stroked="f">
                <v:textbox>
                  <w:txbxContent>
                    <w:p w14:paraId="569C49EB" w14:textId="77777777" w:rsidR="00250D96" w:rsidRDefault="00250D96" w:rsidP="00250D96">
                      <w:pPr>
                        <w:widowControl w:val="0"/>
                        <w:pBdr>
                          <w:top w:val="single" w:sz="6" w:space="1" w:color="auto"/>
                        </w:pBdr>
                        <w:autoSpaceDE w:val="0"/>
                        <w:autoSpaceDN w:val="0"/>
                        <w:adjustRightInd w:val="0"/>
                        <w:ind w:right="-28" w:firstLine="0"/>
                        <w:jc w:val="left"/>
                        <w:rPr>
                          <w:i/>
                          <w:w w:val="104"/>
                          <w:sz w:val="16"/>
                          <w:szCs w:val="16"/>
                        </w:rPr>
                      </w:pPr>
                      <w:bookmarkStart w:id="2" w:name="_Hlk91702109"/>
                      <w:bookmarkEnd w:id="2"/>
                      <w:r>
                        <w:rPr>
                          <w:i/>
                          <w:w w:val="104"/>
                          <w:sz w:val="16"/>
                          <w:szCs w:val="16"/>
                        </w:rPr>
                        <w:t xml:space="preserve">* </w:t>
                      </w:r>
                      <w:r>
                        <w:rPr>
                          <w:w w:val="104"/>
                          <w:sz w:val="16"/>
                          <w:szCs w:val="16"/>
                        </w:rPr>
                        <w:t>Corresponding Author</w:t>
                      </w:r>
                      <w:r>
                        <w:rPr>
                          <w:i/>
                          <w:w w:val="104"/>
                          <w:sz w:val="16"/>
                          <w:szCs w:val="16"/>
                        </w:rPr>
                        <w:t xml:space="preserve">. </w:t>
                      </w:r>
                    </w:p>
                    <w:p w14:paraId="44CCB2C2" w14:textId="0F684984" w:rsidR="00250D96" w:rsidRDefault="00250D96" w:rsidP="00250D96">
                      <w:pPr>
                        <w:pStyle w:val="AuthorAfiliation"/>
                        <w:jc w:val="left"/>
                        <w:rPr>
                          <w:i w:val="0"/>
                          <w:szCs w:val="16"/>
                          <w:lang w:val="en-US"/>
                        </w:rPr>
                      </w:pPr>
                      <w:r>
                        <w:rPr>
                          <w:i w:val="0"/>
                          <w:w w:val="104"/>
                          <w:szCs w:val="16"/>
                        </w:rPr>
                        <w:t xml:space="preserve">Email: </w:t>
                      </w:r>
                      <w:r w:rsidRPr="00250D96">
                        <w:rPr>
                          <w:i w:val="0"/>
                          <w:w w:val="104"/>
                          <w:szCs w:val="16"/>
                        </w:rPr>
                        <w:t>robeth.viktoria.manurung@brin.go.id</w:t>
                      </w:r>
                    </w:p>
                    <w:p w14:paraId="7BF29603" w14:textId="34E5BDC4" w:rsidR="00250D96" w:rsidRPr="00891056" w:rsidRDefault="00250D96" w:rsidP="00250D96">
                      <w:pPr>
                        <w:widowControl w:val="0"/>
                        <w:tabs>
                          <w:tab w:val="left" w:pos="1985"/>
                        </w:tabs>
                        <w:autoSpaceDE w:val="0"/>
                        <w:autoSpaceDN w:val="0"/>
                        <w:adjustRightInd w:val="0"/>
                        <w:ind w:right="-28" w:firstLine="0"/>
                        <w:rPr>
                          <w:color w:val="000000" w:themeColor="text1"/>
                          <w:w w:val="104"/>
                          <w:sz w:val="16"/>
                          <w:szCs w:val="16"/>
                          <w:lang w:val="en-US"/>
                        </w:rPr>
                      </w:pPr>
                      <w:r w:rsidRPr="00891056">
                        <w:rPr>
                          <w:color w:val="000000" w:themeColor="text1"/>
                          <w:w w:val="104"/>
                          <w:sz w:val="16"/>
                          <w:szCs w:val="16"/>
                        </w:rPr>
                        <w:t>Received:</w:t>
                      </w:r>
                      <w:r w:rsidRPr="00891056">
                        <w:rPr>
                          <w:color w:val="000000" w:themeColor="text1"/>
                          <w:w w:val="104"/>
                          <w:sz w:val="16"/>
                          <w:szCs w:val="16"/>
                          <w:lang w:val="en-US"/>
                        </w:rPr>
                        <w:t xml:space="preserve"> </w:t>
                      </w:r>
                      <w:r w:rsidR="00AF1ABA" w:rsidRPr="00891056">
                        <w:rPr>
                          <w:color w:val="000000" w:themeColor="text1"/>
                          <w:w w:val="104"/>
                          <w:sz w:val="16"/>
                          <w:szCs w:val="16"/>
                          <w:lang w:val="en-US"/>
                        </w:rPr>
                        <w:t xml:space="preserve">September </w:t>
                      </w:r>
                      <w:r w:rsidR="00AF1ABA" w:rsidRPr="00891056">
                        <w:rPr>
                          <w:color w:val="000000" w:themeColor="text1"/>
                          <w:w w:val="104"/>
                          <w:sz w:val="16"/>
                          <w:szCs w:val="16"/>
                          <w:lang w:val="en-US"/>
                        </w:rPr>
                        <w:t xml:space="preserve">8, </w:t>
                      </w:r>
                      <w:r w:rsidR="00AF1ABA" w:rsidRPr="00891056">
                        <w:rPr>
                          <w:color w:val="000000" w:themeColor="text1"/>
                          <w:w w:val="104"/>
                          <w:sz w:val="16"/>
                          <w:szCs w:val="16"/>
                          <w:lang w:val="en-US"/>
                        </w:rPr>
                        <w:t>2025</w:t>
                      </w:r>
                      <w:r w:rsidRPr="00891056">
                        <w:rPr>
                          <w:color w:val="000000" w:themeColor="text1"/>
                          <w:w w:val="104"/>
                          <w:sz w:val="16"/>
                          <w:szCs w:val="16"/>
                          <w:lang w:val="en-US"/>
                        </w:rPr>
                        <w:tab/>
                      </w:r>
                      <w:r w:rsidRPr="00891056">
                        <w:rPr>
                          <w:color w:val="000000" w:themeColor="text1"/>
                          <w:w w:val="104"/>
                          <w:sz w:val="16"/>
                          <w:szCs w:val="16"/>
                          <w:lang w:val="en-US"/>
                        </w:rPr>
                        <w:tab/>
                      </w:r>
                      <w:r w:rsidRPr="00891056">
                        <w:rPr>
                          <w:color w:val="000000" w:themeColor="text1"/>
                          <w:w w:val="104"/>
                          <w:sz w:val="16"/>
                          <w:szCs w:val="16"/>
                        </w:rPr>
                        <w:t>;</w:t>
                      </w:r>
                      <w:r w:rsidRPr="00891056">
                        <w:rPr>
                          <w:color w:val="000000" w:themeColor="text1"/>
                          <w:w w:val="104"/>
                          <w:sz w:val="16"/>
                          <w:szCs w:val="16"/>
                          <w:lang w:val="en-US"/>
                        </w:rPr>
                        <w:t xml:space="preserve"> </w:t>
                      </w:r>
                      <w:r w:rsidRPr="00891056">
                        <w:rPr>
                          <w:color w:val="000000" w:themeColor="text1"/>
                          <w:w w:val="104"/>
                          <w:sz w:val="16"/>
                          <w:szCs w:val="16"/>
                        </w:rPr>
                        <w:t xml:space="preserve">Revised: </w:t>
                      </w:r>
                      <w:r w:rsidR="00891056" w:rsidRPr="00891056">
                        <w:rPr>
                          <w:color w:val="000000" w:themeColor="text1"/>
                          <w:w w:val="104"/>
                          <w:sz w:val="16"/>
                          <w:szCs w:val="16"/>
                        </w:rPr>
                        <w:t xml:space="preserve">October 23, </w:t>
                      </w:r>
                      <w:r w:rsidR="00AF1ABA" w:rsidRPr="00891056">
                        <w:rPr>
                          <w:color w:val="000000" w:themeColor="text1"/>
                          <w:w w:val="104"/>
                          <w:sz w:val="16"/>
                          <w:szCs w:val="16"/>
                          <w:lang w:val="en-US"/>
                        </w:rPr>
                        <w:t>2025</w:t>
                      </w:r>
                    </w:p>
                    <w:p w14:paraId="2471F39E" w14:textId="28423F3D" w:rsidR="00250D96" w:rsidRDefault="00250D96" w:rsidP="00250D96">
                      <w:pPr>
                        <w:widowControl w:val="0"/>
                        <w:tabs>
                          <w:tab w:val="left" w:pos="1985"/>
                        </w:tabs>
                        <w:autoSpaceDE w:val="0"/>
                        <w:autoSpaceDN w:val="0"/>
                        <w:adjustRightInd w:val="0"/>
                        <w:ind w:right="-28" w:firstLine="0"/>
                        <w:rPr>
                          <w:color w:val="000000" w:themeColor="text1"/>
                          <w:w w:val="104"/>
                          <w:sz w:val="16"/>
                          <w:szCs w:val="16"/>
                          <w:lang w:val="en-US"/>
                        </w:rPr>
                      </w:pPr>
                      <w:r w:rsidRPr="00891056">
                        <w:rPr>
                          <w:color w:val="000000" w:themeColor="text1"/>
                          <w:w w:val="104"/>
                          <w:sz w:val="16"/>
                          <w:szCs w:val="16"/>
                        </w:rPr>
                        <w:t>Accepted:</w:t>
                      </w:r>
                      <w:r w:rsidRPr="00891056">
                        <w:rPr>
                          <w:color w:val="000000" w:themeColor="text1"/>
                          <w:w w:val="104"/>
                          <w:sz w:val="16"/>
                          <w:szCs w:val="16"/>
                          <w:lang w:val="en-US"/>
                        </w:rPr>
                        <w:t xml:space="preserve"> </w:t>
                      </w:r>
                      <w:r w:rsidR="00891056" w:rsidRPr="00891056">
                        <w:rPr>
                          <w:color w:val="000000" w:themeColor="text1"/>
                          <w:w w:val="104"/>
                          <w:sz w:val="16"/>
                          <w:szCs w:val="16"/>
                          <w:lang w:val="en-US"/>
                        </w:rPr>
                        <w:t xml:space="preserve">November </w:t>
                      </w:r>
                      <w:r w:rsidR="00891056">
                        <w:rPr>
                          <w:color w:val="000000" w:themeColor="text1"/>
                          <w:w w:val="104"/>
                          <w:sz w:val="16"/>
                          <w:szCs w:val="16"/>
                          <w:lang w:val="en-US"/>
                        </w:rPr>
                        <w:t>27</w:t>
                      </w:r>
                      <w:r w:rsidR="00891056" w:rsidRPr="00891056">
                        <w:rPr>
                          <w:color w:val="000000" w:themeColor="text1"/>
                          <w:w w:val="104"/>
                          <w:sz w:val="16"/>
                          <w:szCs w:val="16"/>
                          <w:lang w:val="en-US"/>
                        </w:rPr>
                        <w:t xml:space="preserve">, </w:t>
                      </w:r>
                      <w:r w:rsidR="00891056" w:rsidRPr="00891056">
                        <w:rPr>
                          <w:color w:val="000000" w:themeColor="text1"/>
                          <w:w w:val="104"/>
                          <w:sz w:val="16"/>
                          <w:szCs w:val="16"/>
                          <w:lang w:val="en-US"/>
                        </w:rPr>
                        <w:t>2025</w:t>
                      </w:r>
                      <w:r w:rsidRPr="00891056">
                        <w:rPr>
                          <w:color w:val="000000" w:themeColor="text1"/>
                          <w:w w:val="104"/>
                          <w:sz w:val="16"/>
                          <w:szCs w:val="16"/>
                        </w:rPr>
                        <w:tab/>
                        <w:t xml:space="preserve">; Published: </w:t>
                      </w:r>
                      <w:r w:rsidRPr="00891056">
                        <w:rPr>
                          <w:color w:val="000000" w:themeColor="text1"/>
                          <w:w w:val="104"/>
                          <w:sz w:val="16"/>
                          <w:szCs w:val="16"/>
                          <w:lang w:val="en-US"/>
                        </w:rPr>
                        <w:t xml:space="preserve">December </w:t>
                      </w:r>
                      <w:r w:rsidRPr="00891056">
                        <w:rPr>
                          <w:color w:val="000000" w:themeColor="text1"/>
                          <w:w w:val="104"/>
                          <w:sz w:val="16"/>
                          <w:szCs w:val="16"/>
                        </w:rPr>
                        <w:t>31, 202</w:t>
                      </w:r>
                      <w:r w:rsidRPr="00891056">
                        <w:rPr>
                          <w:color w:val="000000" w:themeColor="text1"/>
                          <w:w w:val="104"/>
                          <w:sz w:val="16"/>
                          <w:szCs w:val="16"/>
                          <w:lang w:val="en-US"/>
                        </w:rPr>
                        <w:t>5</w:t>
                      </w:r>
                    </w:p>
                    <w:p w14:paraId="429BB80F" w14:textId="77777777" w:rsidR="00250D96" w:rsidRDefault="00250D96" w:rsidP="00250D96">
                      <w:pPr>
                        <w:widowControl w:val="0"/>
                        <w:tabs>
                          <w:tab w:val="left" w:pos="1985"/>
                        </w:tabs>
                        <w:autoSpaceDE w:val="0"/>
                        <w:autoSpaceDN w:val="0"/>
                        <w:adjustRightInd w:val="0"/>
                        <w:ind w:right="-28" w:firstLine="0"/>
                        <w:rPr>
                          <w:rFonts w:eastAsia="Calibri"/>
                          <w:color w:val="000000" w:themeColor="text1"/>
                          <w:sz w:val="16"/>
                          <w:szCs w:val="16"/>
                          <w:lang w:val="en-US"/>
                        </w:rPr>
                      </w:pPr>
                    </w:p>
                    <w:p w14:paraId="6AF0F21C" w14:textId="77777777" w:rsidR="00250D96" w:rsidRDefault="00250D96" w:rsidP="00250D96">
                      <w:pPr>
                        <w:widowControl w:val="0"/>
                        <w:tabs>
                          <w:tab w:val="left" w:pos="1985"/>
                        </w:tabs>
                        <w:autoSpaceDE w:val="0"/>
                        <w:autoSpaceDN w:val="0"/>
                        <w:adjustRightInd w:val="0"/>
                        <w:ind w:right="-28" w:firstLine="0"/>
                        <w:rPr>
                          <w:rFonts w:eastAsia="Calibri"/>
                          <w:color w:val="000000" w:themeColor="text1"/>
                          <w:sz w:val="16"/>
                          <w:szCs w:val="16"/>
                        </w:rPr>
                      </w:pPr>
                      <w:r>
                        <w:rPr>
                          <w:rFonts w:eastAsia="Calibri"/>
                          <w:color w:val="000000" w:themeColor="text1"/>
                          <w:sz w:val="16"/>
                          <w:szCs w:val="16"/>
                          <w:lang w:val="en-US"/>
                        </w:rPr>
                        <w:t>Open access under CC-BY-NC-SA</w:t>
                      </w:r>
                    </w:p>
                    <w:p w14:paraId="38851422" w14:textId="77777777" w:rsidR="00250D96" w:rsidRDefault="00250D96" w:rsidP="00250D96">
                      <w:pPr>
                        <w:widowControl w:val="0"/>
                        <w:tabs>
                          <w:tab w:val="left" w:pos="1985"/>
                        </w:tabs>
                        <w:autoSpaceDE w:val="0"/>
                        <w:autoSpaceDN w:val="0"/>
                        <w:adjustRightInd w:val="0"/>
                        <w:ind w:right="-28" w:firstLine="0"/>
                        <w:rPr>
                          <w:color w:val="000000" w:themeColor="text1"/>
                          <w:w w:val="104"/>
                          <w:sz w:val="16"/>
                          <w:szCs w:val="16"/>
                        </w:rPr>
                      </w:pPr>
                      <w:r>
                        <w:rPr>
                          <w:color w:val="000000" w:themeColor="text1"/>
                          <w:w w:val="104"/>
                          <w:sz w:val="16"/>
                          <w:szCs w:val="16"/>
                        </w:rPr>
                        <w:sym w:font="Symbol" w:char="F0D3"/>
                      </w:r>
                      <w:r>
                        <w:rPr>
                          <w:color w:val="000000" w:themeColor="text1"/>
                          <w:w w:val="104"/>
                          <w:sz w:val="16"/>
                          <w:szCs w:val="16"/>
                        </w:rPr>
                        <w:t xml:space="preserve"> 202</w:t>
                      </w:r>
                      <w:r>
                        <w:rPr>
                          <w:color w:val="000000" w:themeColor="text1"/>
                          <w:w w:val="104"/>
                          <w:sz w:val="16"/>
                          <w:szCs w:val="16"/>
                          <w:lang w:val="en-US"/>
                        </w:rPr>
                        <w:t>5 BRIN</w:t>
                      </w:r>
                    </w:p>
                    <w:p w14:paraId="64622ED9" w14:textId="77777777" w:rsidR="00250D96" w:rsidRDefault="00250D96" w:rsidP="00250D96">
                      <w:pPr>
                        <w:widowControl w:val="0"/>
                        <w:autoSpaceDE w:val="0"/>
                        <w:autoSpaceDN w:val="0"/>
                        <w:adjustRightInd w:val="0"/>
                        <w:ind w:right="-28" w:firstLine="0"/>
                        <w:jc w:val="left"/>
                        <w:rPr>
                          <w:w w:val="104"/>
                          <w:sz w:val="16"/>
                          <w:szCs w:val="16"/>
                        </w:rPr>
                      </w:pPr>
                      <w:r>
                        <w:rPr>
                          <w:color w:val="FFFFFF"/>
                          <w:w w:val="104"/>
                          <w:sz w:val="16"/>
                          <w:szCs w:val="16"/>
                        </w:rPr>
                        <w:t>25-32</w:t>
                      </w:r>
                    </w:p>
                    <w:p w14:paraId="25AC1426" w14:textId="77777777" w:rsidR="00250D96" w:rsidRDefault="00250D96" w:rsidP="00250D96"/>
                  </w:txbxContent>
                </v:textbox>
                <w10:wrap type="square" anchory="margin"/>
              </v:shape>
            </w:pict>
          </mc:Fallback>
        </mc:AlternateContent>
      </w:r>
      <w:r>
        <w:t>Colorimetric assays are a fundamental technique in chemical analysis, biomedical testing, and environmental monitoring, relying on the measurement of color changes to quantify analyte concentrations with a rapid and cost-effective approach [1]–[</w:t>
      </w:r>
      <w:r w:rsidR="00193869">
        <w:t>6</w:t>
      </w:r>
      <w:r>
        <w:t>]. These assays operate by leveraging the interaction of analytes with specific reagents to produce detectable color shifts, which can be visually interpreted or measured to determine concentration levels, offering simplicity and minimal reagent requirements. Conventional spectrophotometers serve as the gold standard for such measurements, using precise optical systems to measure absorbance across a broad wavelength range with high reliability [3]</w:t>
      </w:r>
      <w:r w:rsidR="008F0973">
        <w:t>–[5],</w:t>
      </w:r>
      <w:r>
        <w:t xml:space="preserve"> [</w:t>
      </w:r>
      <w:r w:rsidR="008F0973">
        <w:t>7</w:t>
      </w:r>
      <w:r>
        <w:t xml:space="preserve">]. However, these instruments are characterized by their bulky design, significant weight, and lack of portability, </w:t>
      </w:r>
      <w:r>
        <w:t>restricting their application to well-equipped laboratory settings and necessitating the use of alternatives for field-based applications [</w:t>
      </w:r>
      <w:r w:rsidR="008F0973">
        <w:t>8</w:t>
      </w:r>
      <w:r>
        <w:t>]</w:t>
      </w:r>
      <w:r w:rsidR="00193869">
        <w:t>–</w:t>
      </w:r>
      <w:r>
        <w:t>[</w:t>
      </w:r>
      <w:r w:rsidR="008F0973">
        <w:t>13</w:t>
      </w:r>
      <w:r>
        <w:t>].</w:t>
      </w:r>
    </w:p>
    <w:p w14:paraId="6E658690" w14:textId="77777777" w:rsidR="00051088" w:rsidRDefault="00000000" w:rsidP="00AC0E29">
      <w:r>
        <w:t>Recent advances in smartphone imaging and processing capabilities have positioned mobile devices as viable tools for portable colorimetric analysis. High-resolution cameras, integrated sensors, and on-device computation allow smartphones to capture and process images for quantitative measurements in real time. Additionally, smartphones provide a widely accessible platform capable of supporting diverse analytical applications without specialized laboratory equipment. These advantages have motivated the development of a growing number of smartphone-based solutions for chemical and biomedical testing.</w:t>
      </w:r>
    </w:p>
    <w:p w14:paraId="47E847C2" w14:textId="4618D7D3" w:rsidR="00051088" w:rsidRDefault="00000000" w:rsidP="00AC0E29">
      <w:r>
        <w:t>Despite this promise, smartphone-based colorimetric platforms still face persistent technical and practical challenges. Accuracy is frequently compromised by ambient light interference, device-to-device camera variation, and inconsistent image-processing pipelines [</w:t>
      </w:r>
      <w:r w:rsidR="008F0973">
        <w:t>9</w:t>
      </w:r>
      <w:r>
        <w:t>]–[</w:t>
      </w:r>
      <w:r w:rsidR="008F0973">
        <w:t>11</w:t>
      </w:r>
      <w:r>
        <w:t>]. Strategies such as flash/no-flash subtraction [</w:t>
      </w:r>
      <w:r w:rsidR="008F0973">
        <w:t>9</w:t>
      </w:r>
      <w:r>
        <w:t>], ring-light modules [</w:t>
      </w:r>
      <w:r w:rsidR="008F0973">
        <w:t>11</w:t>
      </w:r>
      <w:r>
        <w:t>], and background correction algorithms [</w:t>
      </w:r>
      <w:r w:rsidR="008F0973">
        <w:t>14</w:t>
      </w:r>
      <w:r>
        <w:t xml:space="preserve">] have been introduced to mitigate these </w:t>
      </w:r>
      <w:r>
        <w:lastRenderedPageBreak/>
        <w:t>factors. Other works have emphasized the importance of device-independent calibration and robust color-space transformations, such as HSV and CIELAB, to improve reproducibility across platforms [</w:t>
      </w:r>
      <w:r w:rsidR="008F0973">
        <w:t>15</w:t>
      </w:r>
      <w:r>
        <w:t>]-[</w:t>
      </w:r>
      <w:r w:rsidR="008F0973">
        <w:t>17</w:t>
      </w:r>
      <w:r>
        <w:t>].</w:t>
      </w:r>
    </w:p>
    <w:p w14:paraId="3515CAA6" w14:textId="5D62C4A8" w:rsidR="00051088" w:rsidRDefault="00000000" w:rsidP="00AC0E29">
      <w:r>
        <w:t>Researchers have also investigated hardware-based methods, including 3D-printed holders, enclosed chambers, and optical diffusers, to stabilize imaging conditions [</w:t>
      </w:r>
      <w:r w:rsidR="008F0973">
        <w:t>19</w:t>
      </w:r>
      <w:r>
        <w:t>], [</w:t>
      </w:r>
      <w:r w:rsidR="008F0973">
        <w:t>20</w:t>
      </w:r>
      <w:r>
        <w:t>]. Meanwhile, cloud-based pipelines and AI-driven algorithms have been suggested to improve sensitivity and specificity, though these raise concerns about connectivity, privacy, and computational requirements [</w:t>
      </w:r>
      <w:r w:rsidR="00193869">
        <w:t>12</w:t>
      </w:r>
      <w:r>
        <w:t>], [</w:t>
      </w:r>
      <w:r w:rsidR="00193869">
        <w:t>21</w:t>
      </w:r>
      <w:r>
        <w:t>]. Overall, these advancements demonstrate a widespread and ongoing effort to develop portable, reliable, and affordable colorimetric systems using consumer devices.</w:t>
      </w:r>
    </w:p>
    <w:p w14:paraId="200C0EBC" w14:textId="77777777" w:rsidR="00051088" w:rsidRDefault="00000000" w:rsidP="00AC0E29">
      <w:r>
        <w:t>In this work, we present Colorizer, a smartphone-based platform for fully offline colorimetric analysis. The system integrates RGB-to-CIELAB conversion, calibration blanking, and multivariate regression to reduce device variability. Validation experiments using synthetic dye assays evaluated accuracy, reproducibility, and cross-device performance. By combining controlled illumination in a 3D-printed chamber with modular software and hardware integration, the platform provides a compact and scalable solution suitable for environmental monitoring, education, routine assays, and potential point-of-care applications.</w:t>
      </w:r>
    </w:p>
    <w:p w14:paraId="099E0044" w14:textId="77777777" w:rsidR="00051088" w:rsidRDefault="00000000" w:rsidP="0057198C">
      <w:pPr>
        <w:pStyle w:val="Heading1"/>
        <w:ind w:left="357" w:hanging="357"/>
        <w:rPr>
          <w:color w:val="FF0000"/>
        </w:rPr>
      </w:pPr>
      <w:r>
        <w:t>Experimental Method</w:t>
      </w:r>
    </w:p>
    <w:p w14:paraId="0D7CEC80" w14:textId="77777777" w:rsidR="00051088" w:rsidRDefault="00000000" w:rsidP="0057198C">
      <w:pPr>
        <w:pStyle w:val="Heading2"/>
        <w:ind w:left="357" w:hanging="357"/>
        <w:rPr>
          <w:color w:val="000000" w:themeColor="dark1"/>
        </w:rPr>
      </w:pPr>
      <w:r>
        <w:rPr>
          <w:color w:val="000000" w:themeColor="dark1"/>
        </w:rPr>
        <w:t>System Design</w:t>
      </w:r>
    </w:p>
    <w:p w14:paraId="0C899C08" w14:textId="77777777" w:rsidR="00051088" w:rsidRDefault="00000000" w:rsidP="00AC0E29">
      <w:pPr>
        <w:pStyle w:val="NormalWeb"/>
        <w:spacing w:before="0" w:after="0"/>
        <w:ind w:firstLine="357"/>
        <w:jc w:val="both"/>
        <w:rPr>
          <w:color w:val="000000"/>
          <w:sz w:val="20"/>
          <w:szCs w:val="20"/>
        </w:rPr>
      </w:pPr>
      <w:r>
        <w:rPr>
          <w:color w:val="000000"/>
          <w:sz w:val="20"/>
          <w:szCs w:val="20"/>
        </w:rPr>
        <w:t>The Colorizer platform is built on the principle of modularity, where software, hardware, and illumination are regarded as separate yet closely integrated subsystems. This design allows each module to be developed, optimized, and upgraded independently, without requiring a complete redesign. The platform comprises three main parts: (</w:t>
      </w:r>
      <w:proofErr w:type="spellStart"/>
      <w:r>
        <w:rPr>
          <w:color w:val="000000"/>
          <w:sz w:val="20"/>
          <w:szCs w:val="20"/>
        </w:rPr>
        <w:t>i</w:t>
      </w:r>
      <w:proofErr w:type="spellEnd"/>
      <w:r>
        <w:rPr>
          <w:color w:val="000000"/>
          <w:sz w:val="20"/>
          <w:szCs w:val="20"/>
        </w:rPr>
        <w:t>) a smartphone app for capturing and processing images, (ii) a 3D-printed sampling station that guarantees consistent positioning and light isolation, and (iii) an ESP32-based microcontroller that manages a high-power LED for steady illumination. By integrating these modules, the platform offers portability, reproducibility, and independence from offline connectivity, overcoming key limitations of traditional spectrophotometers and earlier smartphone-based systems.</w:t>
      </w:r>
    </w:p>
    <w:p w14:paraId="163394DC" w14:textId="77777777" w:rsidR="00051088" w:rsidRDefault="00000000">
      <w:pPr>
        <w:pStyle w:val="NormalWeb"/>
        <w:spacing w:before="0" w:after="0"/>
        <w:jc w:val="center"/>
      </w:pPr>
      <w:r>
        <w:rPr>
          <w:noProof/>
        </w:rPr>
        <w:drawing>
          <wp:inline distT="0" distB="0" distL="0" distR="0" wp14:anchorId="3D693872" wp14:editId="28B46934">
            <wp:extent cx="2859977" cy="1765495"/>
            <wp:effectExtent l="0" t="0" r="0" b="6350"/>
            <wp:docPr id="1" name="Picture 3" descr="A diagram of a cell phone and a sample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diagram of a cell phone and a sample station&#10;&#10;AI-generated content may be incorrect."/>
                    <pic:cNvPicPr>
                      <a:picLocks noChangeAspect="1" noChangeArrowheads="1"/>
                    </pic:cNvPicPr>
                  </pic:nvPicPr>
                  <pic:blipFill rotWithShape="1">
                    <a:blip r:embed="rId13"/>
                    <a:srcRect l="4431" r="4513"/>
                    <a:stretch>
                      <a:fillRect/>
                    </a:stretch>
                  </pic:blipFill>
                  <pic:spPr bwMode="auto">
                    <a:xfrm>
                      <a:off x="0" y="0"/>
                      <a:ext cx="2865668" cy="1769008"/>
                    </a:xfrm>
                    <a:prstGeom prst="rect">
                      <a:avLst/>
                    </a:prstGeom>
                    <a:ln>
                      <a:noFill/>
                    </a:ln>
                    <a:extLst>
                      <a:ext uri="{53640926-AAD7-44D8-BBD7-CCE9431645EC}">
                        <a14:shadowObscured xmlns:a14="http://schemas.microsoft.com/office/drawing/2010/main"/>
                      </a:ext>
                    </a:extLst>
                  </pic:spPr>
                </pic:pic>
              </a:graphicData>
            </a:graphic>
          </wp:inline>
        </w:drawing>
      </w:r>
    </w:p>
    <w:p w14:paraId="53E26701" w14:textId="7B3159CC" w:rsidR="00051088" w:rsidRDefault="00000000">
      <w:pPr>
        <w:pStyle w:val="NormalWeb"/>
        <w:spacing w:before="120" w:after="240"/>
        <w:jc w:val="center"/>
      </w:pPr>
      <w:r>
        <w:rPr>
          <w:color w:val="000000"/>
          <w:sz w:val="16"/>
          <w:szCs w:val="16"/>
        </w:rPr>
        <w:t>Figure 1. System architecture of colorizer.</w:t>
      </w:r>
    </w:p>
    <w:p w14:paraId="3B27FE35" w14:textId="77777777" w:rsidR="00051088" w:rsidRDefault="00000000">
      <w:pPr>
        <w:pStyle w:val="NormalWeb"/>
        <w:spacing w:before="0" w:after="0"/>
        <w:jc w:val="center"/>
      </w:pPr>
      <w:r>
        <w:rPr>
          <w:noProof/>
        </w:rPr>
        <w:drawing>
          <wp:inline distT="0" distB="0" distL="0" distR="0" wp14:anchorId="1584CD5B" wp14:editId="5999CB20">
            <wp:extent cx="2162990" cy="4044315"/>
            <wp:effectExtent l="0" t="0" r="8890" b="0"/>
            <wp:docPr id="2" name="Picture 1" descr="A diagram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product&#10;&#10;AI-generated content may be incorrect."/>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bwMode="auto">
                    <a:xfrm>
                      <a:off x="0" y="0"/>
                      <a:ext cx="2174887" cy="4066560"/>
                    </a:xfrm>
                    <a:prstGeom prst="rect">
                      <a:avLst/>
                    </a:prstGeom>
                  </pic:spPr>
                </pic:pic>
              </a:graphicData>
            </a:graphic>
          </wp:inline>
        </w:drawing>
      </w:r>
    </w:p>
    <w:p w14:paraId="085001E3" w14:textId="00A53E78" w:rsidR="00051088" w:rsidRDefault="00000000">
      <w:pPr>
        <w:pStyle w:val="NormalWeb"/>
        <w:spacing w:before="120" w:after="240"/>
        <w:jc w:val="center"/>
      </w:pPr>
      <w:r>
        <w:rPr>
          <w:color w:val="000000"/>
          <w:sz w:val="16"/>
          <w:szCs w:val="16"/>
        </w:rPr>
        <w:t>Figure 2. Operational workflow.</w:t>
      </w:r>
    </w:p>
    <w:p w14:paraId="0FFBB93A" w14:textId="77777777" w:rsidR="008A0AF2" w:rsidRDefault="008A0AF2" w:rsidP="00AC0E29">
      <w:pPr>
        <w:pStyle w:val="NormalWeb"/>
        <w:spacing w:before="0" w:after="0"/>
        <w:ind w:firstLine="357"/>
        <w:jc w:val="both"/>
      </w:pPr>
      <w:r>
        <w:rPr>
          <w:color w:val="000000"/>
          <w:sz w:val="20"/>
          <w:szCs w:val="20"/>
        </w:rPr>
        <w:t>The overall system architecture is illustrated in Figure 1, showing the integration of smartphone software, the 3D-printed sampling station, and ESP32-controlled illumination. </w:t>
      </w:r>
    </w:p>
    <w:p w14:paraId="006511A6" w14:textId="6D0BC834" w:rsidR="00051088" w:rsidRDefault="00000000" w:rsidP="00AC0E29">
      <w:pPr>
        <w:pStyle w:val="NormalWeb"/>
        <w:spacing w:before="0" w:after="0"/>
        <w:ind w:firstLine="357"/>
        <w:jc w:val="both"/>
      </w:pPr>
      <w:r>
        <w:rPr>
          <w:color w:val="000000"/>
          <w:sz w:val="20"/>
          <w:szCs w:val="20"/>
        </w:rPr>
        <w:t>A high-level operational workflow is presented in Figure 2, where samples are introduced into the cuvette holder, the smartphone captures images under controlled illumination, RGB values are transformed into CIELAB coordinates, calibration is applied, and multivariate regression generates analyte concentration predictions. This modular workflow demonstrates how the platform achieves a balance of low-cost design, reproducibility, and offline capability, distinguishing it from both traditional laboratory instrumentation and previous smartphone-based solutions.</w:t>
      </w:r>
    </w:p>
    <w:p w14:paraId="4062B8EA" w14:textId="77777777" w:rsidR="00051088" w:rsidRDefault="00000000" w:rsidP="0057198C">
      <w:pPr>
        <w:pStyle w:val="Heading2"/>
        <w:ind w:left="357" w:hanging="357"/>
        <w:rPr>
          <w:color w:val="000000" w:themeColor="dark1"/>
        </w:rPr>
      </w:pPr>
      <w:r>
        <w:rPr>
          <w:color w:val="000000" w:themeColor="dark1"/>
        </w:rPr>
        <w:t>Software Pipeline</w:t>
      </w:r>
    </w:p>
    <w:p w14:paraId="265CB7E9" w14:textId="77777777" w:rsidR="00051088" w:rsidRDefault="00000000" w:rsidP="00AC0E29">
      <w:pPr>
        <w:rPr>
          <w:sz w:val="24"/>
          <w:szCs w:val="24"/>
          <w:lang w:val="en-ID" w:eastAsia="ja-JP"/>
        </w:rPr>
      </w:pPr>
      <w:r>
        <w:rPr>
          <w:color w:val="000000"/>
          <w:lang w:val="en-ID" w:eastAsia="ja-JP"/>
        </w:rPr>
        <w:t xml:space="preserve">The Colorizer smartphone app serves as the core of the platform, managing image capture, pre-processing, </w:t>
      </w:r>
      <w:proofErr w:type="spellStart"/>
      <w:r>
        <w:rPr>
          <w:color w:val="000000"/>
          <w:lang w:val="en-ID" w:eastAsia="ja-JP"/>
        </w:rPr>
        <w:t>color</w:t>
      </w:r>
      <w:proofErr w:type="spellEnd"/>
      <w:r>
        <w:rPr>
          <w:color w:val="000000"/>
          <w:lang w:val="en-ID" w:eastAsia="ja-JP"/>
        </w:rPr>
        <w:t xml:space="preserve"> adjustments, calibration blanking, and concentration prediction. It was built in Kotlin using Android Studio with the </w:t>
      </w:r>
      <w:proofErr w:type="spellStart"/>
      <w:r>
        <w:rPr>
          <w:color w:val="000000"/>
          <w:lang w:val="en-ID" w:eastAsia="ja-JP"/>
        </w:rPr>
        <w:t>CameraX</w:t>
      </w:r>
      <w:proofErr w:type="spellEnd"/>
      <w:r>
        <w:rPr>
          <w:color w:val="000000"/>
          <w:lang w:val="en-ID" w:eastAsia="ja-JP"/>
        </w:rPr>
        <w:t xml:space="preserve"> API, which offers precise control over settings such as ISO, exposure, and focus. Images were standardized to 480 × 640 pixels to optimize processing speed and image quality. This ensures compatibility with low- to mid-range smartphones often used in resource-limited settings.</w:t>
      </w:r>
    </w:p>
    <w:p w14:paraId="4E0831C5" w14:textId="095493BB" w:rsidR="00051088" w:rsidRDefault="00000000" w:rsidP="00AC0E29">
      <w:pPr>
        <w:rPr>
          <w:color w:val="000000"/>
          <w:lang w:val="en-ID" w:eastAsia="ja-JP"/>
        </w:rPr>
      </w:pPr>
      <w:r>
        <w:rPr>
          <w:color w:val="000000"/>
          <w:lang w:val="en-ID" w:eastAsia="ja-JP"/>
        </w:rPr>
        <w:t xml:space="preserve">For each captured image, a 30 × </w:t>
      </w:r>
      <w:proofErr w:type="gramStart"/>
      <w:r>
        <w:rPr>
          <w:color w:val="000000"/>
          <w:lang w:val="en-ID" w:eastAsia="ja-JP"/>
        </w:rPr>
        <w:t>30 pixel</w:t>
      </w:r>
      <w:proofErr w:type="gramEnd"/>
      <w:r>
        <w:rPr>
          <w:color w:val="000000"/>
          <w:lang w:val="en-ID" w:eastAsia="ja-JP"/>
        </w:rPr>
        <w:t xml:space="preserve"> region of interest (ROI) was extracted from the </w:t>
      </w:r>
      <w:proofErr w:type="spellStart"/>
      <w:r>
        <w:rPr>
          <w:color w:val="000000"/>
          <w:lang w:val="en-ID" w:eastAsia="ja-JP"/>
        </w:rPr>
        <w:t>center</w:t>
      </w:r>
      <w:proofErr w:type="spellEnd"/>
      <w:r>
        <w:rPr>
          <w:color w:val="000000"/>
          <w:lang w:val="en-ID" w:eastAsia="ja-JP"/>
        </w:rPr>
        <w:t xml:space="preserve"> of the cuvette’s optical path. Larger ROIs were avoided because they caused edge reflections, while smaller ROIs were more susceptible to random sensor noise. Averaging across 900 pixels reduced variability while maintaining </w:t>
      </w:r>
      <w:r>
        <w:rPr>
          <w:color w:val="000000"/>
          <w:lang w:val="en-ID" w:eastAsia="ja-JP"/>
        </w:rPr>
        <w:lastRenderedPageBreak/>
        <w:t>sensitivity to concentration changes, thereby improving overall measurement stability. ROI-based averaging has also been shown in previous smartphone colorimetric systems to enhance robustness against pixel noise [</w:t>
      </w:r>
      <w:r w:rsidR="008F0973">
        <w:rPr>
          <w:color w:val="000000"/>
          <w:lang w:val="en-ID" w:eastAsia="ja-JP"/>
        </w:rPr>
        <w:t>22</w:t>
      </w:r>
      <w:r>
        <w:rPr>
          <w:color w:val="000000"/>
          <w:lang w:val="en-ID" w:eastAsia="ja-JP"/>
        </w:rPr>
        <w:t>]-[</w:t>
      </w:r>
      <w:r w:rsidR="008F0973">
        <w:rPr>
          <w:color w:val="000000"/>
          <w:lang w:val="en-ID" w:eastAsia="ja-JP"/>
        </w:rPr>
        <w:t>24</w:t>
      </w:r>
      <w:r>
        <w:rPr>
          <w:color w:val="000000"/>
          <w:lang w:val="en-ID" w:eastAsia="ja-JP"/>
        </w:rPr>
        <w:t>].</w:t>
      </w:r>
    </w:p>
    <w:p w14:paraId="37211268" w14:textId="0CB434F1" w:rsidR="00051088" w:rsidRDefault="00000000" w:rsidP="00AC0E29">
      <w:pPr>
        <w:rPr>
          <w:sz w:val="24"/>
          <w:szCs w:val="24"/>
          <w:lang w:val="en-ID" w:eastAsia="ja-JP"/>
        </w:rPr>
      </w:pPr>
      <w:r>
        <w:rPr>
          <w:color w:val="000000"/>
          <w:lang w:val="en-ID" w:eastAsia="ja-JP"/>
        </w:rPr>
        <w:t xml:space="preserve">The mean RGB values were then transformed into the CIELAB </w:t>
      </w:r>
      <w:proofErr w:type="spellStart"/>
      <w:r>
        <w:rPr>
          <w:color w:val="000000"/>
          <w:lang w:val="en-ID" w:eastAsia="ja-JP"/>
        </w:rPr>
        <w:t>color</w:t>
      </w:r>
      <w:proofErr w:type="spellEnd"/>
      <w:r>
        <w:rPr>
          <w:color w:val="000000"/>
          <w:lang w:val="en-ID" w:eastAsia="ja-JP"/>
        </w:rPr>
        <w:t xml:space="preserve"> space, which provides perceptual uniformity and reduces dependence on device-specific </w:t>
      </w:r>
      <w:proofErr w:type="spellStart"/>
      <w:r>
        <w:rPr>
          <w:color w:val="000000"/>
          <w:lang w:val="en-ID" w:eastAsia="ja-JP"/>
        </w:rPr>
        <w:t>color</w:t>
      </w:r>
      <w:proofErr w:type="spellEnd"/>
      <w:r>
        <w:rPr>
          <w:color w:val="000000"/>
          <w:lang w:val="en-ID" w:eastAsia="ja-JP"/>
        </w:rPr>
        <w:t xml:space="preserve"> profiles [2</w:t>
      </w:r>
      <w:r w:rsidR="008F0973">
        <w:rPr>
          <w:color w:val="000000"/>
          <w:lang w:val="en-ID" w:eastAsia="ja-JP"/>
        </w:rPr>
        <w:t>5</w:t>
      </w:r>
      <w:r>
        <w:rPr>
          <w:color w:val="000000"/>
          <w:lang w:val="en-ID" w:eastAsia="ja-JP"/>
        </w:rPr>
        <w:t xml:space="preserve">]. The conversion was performed using the standard RGB→XYZ→CIELAB transformation under a D65 </w:t>
      </w:r>
      <w:proofErr w:type="spellStart"/>
      <w:r>
        <w:rPr>
          <w:color w:val="000000"/>
          <w:lang w:val="en-ID" w:eastAsia="ja-JP"/>
        </w:rPr>
        <w:t>illuminant</w:t>
      </w:r>
      <w:proofErr w:type="spellEnd"/>
      <w:r>
        <w:rPr>
          <w:color w:val="000000"/>
          <w:lang w:val="en-ID" w:eastAsia="ja-JP"/>
        </w:rPr>
        <w:t xml:space="preserve">, yielding </w:t>
      </w:r>
      <w:r w:rsidRPr="00B95900">
        <w:rPr>
          <w:i/>
          <w:iCs/>
          <w:color w:val="000000"/>
          <w:lang w:val="en-ID" w:eastAsia="ja-JP"/>
        </w:rPr>
        <w:t>L*</w:t>
      </w:r>
      <w:r>
        <w:rPr>
          <w:color w:val="000000"/>
          <w:lang w:val="en-ID" w:eastAsia="ja-JP"/>
        </w:rPr>
        <w:t xml:space="preserve">, </w:t>
      </w:r>
      <w:r w:rsidRPr="00B95900">
        <w:rPr>
          <w:i/>
          <w:iCs/>
          <w:color w:val="000000"/>
          <w:lang w:val="en-ID" w:eastAsia="ja-JP"/>
        </w:rPr>
        <w:t>a*</w:t>
      </w:r>
      <w:r>
        <w:rPr>
          <w:color w:val="000000"/>
          <w:lang w:val="en-ID" w:eastAsia="ja-JP"/>
        </w:rPr>
        <w:t xml:space="preserve">, and </w:t>
      </w:r>
      <w:r w:rsidRPr="00B95900">
        <w:rPr>
          <w:i/>
          <w:iCs/>
          <w:color w:val="000000"/>
          <w:lang w:val="en-ID" w:eastAsia="ja-JP"/>
        </w:rPr>
        <w:t>b*</w:t>
      </w:r>
      <w:r>
        <w:rPr>
          <w:color w:val="000000"/>
          <w:lang w:val="en-ID" w:eastAsia="ja-JP"/>
        </w:rPr>
        <w:t xml:space="preserve"> values. These values, combined with the original RGB channels, formed a six-dimensional feature vector [</w:t>
      </w:r>
      <w:r w:rsidRPr="00B95900">
        <w:rPr>
          <w:i/>
          <w:iCs/>
          <w:color w:val="000000"/>
          <w:lang w:val="en-ID" w:eastAsia="ja-JP"/>
        </w:rPr>
        <w:t>R</w:t>
      </w:r>
      <w:r>
        <w:rPr>
          <w:color w:val="000000"/>
          <w:lang w:val="en-ID" w:eastAsia="ja-JP"/>
        </w:rPr>
        <w:t xml:space="preserve">, </w:t>
      </w:r>
      <w:r w:rsidRPr="00B95900">
        <w:rPr>
          <w:i/>
          <w:iCs/>
          <w:color w:val="000000"/>
          <w:lang w:val="en-ID" w:eastAsia="ja-JP"/>
        </w:rPr>
        <w:t>G</w:t>
      </w:r>
      <w:r>
        <w:rPr>
          <w:color w:val="000000"/>
          <w:lang w:val="en-ID" w:eastAsia="ja-JP"/>
        </w:rPr>
        <w:t xml:space="preserve">, </w:t>
      </w:r>
      <w:r w:rsidRPr="00B95900">
        <w:rPr>
          <w:i/>
          <w:iCs/>
          <w:color w:val="000000"/>
          <w:lang w:val="en-ID" w:eastAsia="ja-JP"/>
        </w:rPr>
        <w:t>B</w:t>
      </w:r>
      <w:r>
        <w:rPr>
          <w:color w:val="000000"/>
          <w:lang w:val="en-ID" w:eastAsia="ja-JP"/>
        </w:rPr>
        <w:t xml:space="preserve">, </w:t>
      </w:r>
      <w:r w:rsidRPr="00B95900">
        <w:rPr>
          <w:i/>
          <w:iCs/>
          <w:color w:val="000000"/>
          <w:lang w:val="en-ID" w:eastAsia="ja-JP"/>
        </w:rPr>
        <w:t>L*</w:t>
      </w:r>
      <w:r>
        <w:rPr>
          <w:color w:val="000000"/>
          <w:lang w:val="en-ID" w:eastAsia="ja-JP"/>
        </w:rPr>
        <w:t xml:space="preserve">, </w:t>
      </w:r>
      <w:r w:rsidRPr="00B95900">
        <w:rPr>
          <w:i/>
          <w:iCs/>
          <w:color w:val="000000"/>
          <w:lang w:val="en-ID" w:eastAsia="ja-JP"/>
        </w:rPr>
        <w:t>a*</w:t>
      </w:r>
      <w:r>
        <w:rPr>
          <w:color w:val="000000"/>
          <w:lang w:val="en-ID" w:eastAsia="ja-JP"/>
        </w:rPr>
        <w:t xml:space="preserve">, </w:t>
      </w:r>
      <w:r w:rsidRPr="00B95900">
        <w:rPr>
          <w:i/>
          <w:iCs/>
          <w:color w:val="000000"/>
          <w:lang w:val="en-ID" w:eastAsia="ja-JP"/>
        </w:rPr>
        <w:t>b*</w:t>
      </w:r>
      <w:r>
        <w:rPr>
          <w:color w:val="000000"/>
          <w:lang w:val="en-ID" w:eastAsia="ja-JP"/>
        </w:rPr>
        <w:t>]. The process is illustrated in Figure 3, where blank calibration offsets are also applied.</w:t>
      </w:r>
    </w:p>
    <w:p w14:paraId="0ACBF6ED" w14:textId="77777777" w:rsidR="00051088" w:rsidRDefault="00000000">
      <w:pPr>
        <w:tabs>
          <w:tab w:val="center" w:pos="2268"/>
          <w:tab w:val="right" w:pos="4536"/>
        </w:tabs>
        <w:spacing w:before="120" w:after="120"/>
        <w:ind w:firstLine="0"/>
        <w:jc w:val="center"/>
        <w:rPr>
          <w:color w:val="FF0000"/>
        </w:rPr>
      </w:pPr>
      <w:r>
        <w:t xml:space="preserve">                 </w:t>
      </w:r>
      <m:oMath>
        <m:r>
          <w:rPr>
            <w:rFonts w:ascii="Cambria Math" w:hAnsi="Cambria Math"/>
          </w:rPr>
          <m:t>y=</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β</m:t>
                </m:r>
              </m:e>
              <m:sub>
                <m:r>
                  <w:rPr>
                    <w:rFonts w:ascii="Cambria Math" w:hAnsi="Cambria Math"/>
                  </w:rPr>
                  <m:t>i</m:t>
                </m:r>
              </m:sub>
            </m:sSub>
            <m:r>
              <w:rPr>
                <w:rFonts w:ascii="Cambria Math" w:hAnsi="Cambria Math"/>
              </w:rPr>
              <m:t>ln</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+1</m:t>
                </m:r>
              </m:e>
            </m:d>
            <m:r>
              <w:rPr>
                <w:rFonts w:ascii="Cambria Math" w:hAnsi="Cambria Math"/>
              </w:rPr>
              <m:t>+ϵ</m:t>
            </m:r>
          </m:e>
        </m:nary>
      </m:oMath>
      <w:r>
        <w:tab/>
        <w:t>(1)</w:t>
      </w:r>
    </w:p>
    <w:p w14:paraId="19E4C49B" w14:textId="334AFA36" w:rsidR="00051088" w:rsidRDefault="00000000" w:rsidP="00AC0E29">
      <w:pPr>
        <w:rPr>
          <w:color w:val="000000"/>
          <w:lang w:val="en-ID" w:eastAsia="ja-JP"/>
        </w:rPr>
      </w:pPr>
      <w:r>
        <w:rPr>
          <w:color w:val="000000"/>
          <w:lang w:val="en-ID" w:eastAsia="ja-JP"/>
        </w:rPr>
        <w:t xml:space="preserve">Concentration prediction was carried out using multivariate linear regression (MLR) with log-transformed input features </w:t>
      </w:r>
      <w:r w:rsidR="00AC0E29" w:rsidRPr="00AC0E29">
        <w:rPr>
          <w:color w:val="000000"/>
          <w:lang w:val="en-ID" w:eastAsia="ja-JP"/>
        </w:rPr>
        <w:t xml:space="preserve">as described in </w:t>
      </w:r>
      <w:r>
        <w:rPr>
          <w:color w:val="000000"/>
          <w:lang w:val="en-ID" w:eastAsia="ja-JP"/>
        </w:rPr>
        <w:t xml:space="preserve">(1). In (1), </w:t>
      </w:r>
      <w:r w:rsidRPr="00B95900">
        <w:rPr>
          <w:i/>
          <w:iCs/>
          <w:color w:val="000000"/>
          <w:lang w:val="en-ID" w:eastAsia="ja-JP"/>
        </w:rPr>
        <w:t>y</w:t>
      </w:r>
      <w:r>
        <w:rPr>
          <w:color w:val="000000"/>
          <w:lang w:val="en-ID" w:eastAsia="ja-JP"/>
        </w:rPr>
        <w:t xml:space="preserve"> represents the predicted concentration, </w:t>
      </w:r>
      <w:r w:rsidRPr="00B95900">
        <w:rPr>
          <w:i/>
          <w:iCs/>
          <w:color w:val="000000"/>
          <w:lang w:val="en-ID" w:eastAsia="ja-JP"/>
        </w:rPr>
        <w:t>β₀</w:t>
      </w:r>
      <w:r>
        <w:rPr>
          <w:color w:val="000000"/>
          <w:lang w:val="en-ID" w:eastAsia="ja-JP"/>
        </w:rPr>
        <w:t xml:space="preserve"> is the intercept term, </w:t>
      </w:r>
      <w:r w:rsidRPr="00B95900">
        <w:rPr>
          <w:i/>
          <w:iCs/>
          <w:color w:val="000000"/>
          <w:lang w:val="en-ID" w:eastAsia="ja-JP"/>
        </w:rPr>
        <w:t>βᵢ</w:t>
      </w:r>
      <w:r>
        <w:rPr>
          <w:color w:val="000000"/>
          <w:lang w:val="en-ID" w:eastAsia="ja-JP"/>
        </w:rPr>
        <w:t xml:space="preserve"> denotes the regression coefficient for the </w:t>
      </w:r>
      <w:proofErr w:type="spellStart"/>
      <w:r w:rsidRPr="00B95900">
        <w:rPr>
          <w:i/>
          <w:iCs/>
          <w:color w:val="000000"/>
          <w:lang w:val="en-ID" w:eastAsia="ja-JP"/>
        </w:rPr>
        <w:t>i-th</w:t>
      </w:r>
      <w:proofErr w:type="spellEnd"/>
      <w:r>
        <w:rPr>
          <w:color w:val="000000"/>
          <w:lang w:val="en-ID" w:eastAsia="ja-JP"/>
        </w:rPr>
        <w:t xml:space="preserve"> </w:t>
      </w:r>
      <w:proofErr w:type="spellStart"/>
      <w:r>
        <w:rPr>
          <w:color w:val="000000"/>
          <w:lang w:val="en-ID" w:eastAsia="ja-JP"/>
        </w:rPr>
        <w:t>color</w:t>
      </w:r>
      <w:proofErr w:type="spellEnd"/>
      <w:r>
        <w:rPr>
          <w:color w:val="000000"/>
          <w:lang w:val="en-ID" w:eastAsia="ja-JP"/>
        </w:rPr>
        <w:t xml:space="preserve"> feature, </w:t>
      </w:r>
      <w:r w:rsidRPr="00B95900">
        <w:rPr>
          <w:i/>
          <w:iCs/>
          <w:color w:val="000000"/>
          <w:lang w:val="en-ID" w:eastAsia="ja-JP"/>
        </w:rPr>
        <w:t>n</w:t>
      </w:r>
      <w:r>
        <w:rPr>
          <w:color w:val="000000"/>
          <w:lang w:val="en-ID" w:eastAsia="ja-JP"/>
        </w:rPr>
        <w:t xml:space="preserve"> represents the total number of </w:t>
      </w:r>
      <w:proofErr w:type="spellStart"/>
      <w:r>
        <w:rPr>
          <w:color w:val="000000"/>
          <w:lang w:val="en-ID" w:eastAsia="ja-JP"/>
        </w:rPr>
        <w:t>color</w:t>
      </w:r>
      <w:proofErr w:type="spellEnd"/>
      <w:r>
        <w:rPr>
          <w:color w:val="000000"/>
          <w:lang w:val="en-ID" w:eastAsia="ja-JP"/>
        </w:rPr>
        <w:t xml:space="preserve"> features (</w:t>
      </w:r>
      <w:r w:rsidRPr="00B95900">
        <w:rPr>
          <w:i/>
          <w:iCs/>
          <w:color w:val="000000"/>
          <w:lang w:val="en-ID" w:eastAsia="ja-JP"/>
        </w:rPr>
        <w:t>n = 6</w:t>
      </w:r>
      <w:r>
        <w:rPr>
          <w:color w:val="000000"/>
          <w:lang w:val="en-ID" w:eastAsia="ja-JP"/>
        </w:rPr>
        <w:t xml:space="preserve">, corresponding to RGB and CIELAB </w:t>
      </w:r>
      <w:proofErr w:type="spellStart"/>
      <w:r>
        <w:rPr>
          <w:color w:val="000000"/>
          <w:lang w:val="en-ID" w:eastAsia="ja-JP"/>
        </w:rPr>
        <w:t>color</w:t>
      </w:r>
      <w:proofErr w:type="spellEnd"/>
      <w:r>
        <w:rPr>
          <w:color w:val="000000"/>
          <w:lang w:val="en-ID" w:eastAsia="ja-JP"/>
        </w:rPr>
        <w:t xml:space="preserve"> parameters), </w:t>
      </w:r>
      <w:r w:rsidRPr="00B95900">
        <w:rPr>
          <w:i/>
          <w:iCs/>
          <w:color w:val="000000"/>
          <w:lang w:val="en-ID" w:eastAsia="ja-JP"/>
        </w:rPr>
        <w:t>xᵢ</w:t>
      </w:r>
      <w:r>
        <w:rPr>
          <w:color w:val="000000"/>
          <w:lang w:val="en-ID" w:eastAsia="ja-JP"/>
        </w:rPr>
        <w:t xml:space="preserve"> refers to the </w:t>
      </w:r>
      <w:proofErr w:type="spellStart"/>
      <w:r w:rsidRPr="00B95900">
        <w:rPr>
          <w:i/>
          <w:iCs/>
          <w:color w:val="000000"/>
          <w:lang w:val="en-ID" w:eastAsia="ja-JP"/>
        </w:rPr>
        <w:t>i-th</w:t>
      </w:r>
      <w:proofErr w:type="spellEnd"/>
      <w:r>
        <w:rPr>
          <w:color w:val="000000"/>
          <w:lang w:val="en-ID" w:eastAsia="ja-JP"/>
        </w:rPr>
        <w:t xml:space="preserve"> independent variable (raw </w:t>
      </w:r>
      <w:proofErr w:type="spellStart"/>
      <w:r>
        <w:rPr>
          <w:color w:val="000000"/>
          <w:lang w:val="en-ID" w:eastAsia="ja-JP"/>
        </w:rPr>
        <w:t>color</w:t>
      </w:r>
      <w:proofErr w:type="spellEnd"/>
      <w:r>
        <w:rPr>
          <w:color w:val="000000"/>
          <w:lang w:val="en-ID" w:eastAsia="ja-JP"/>
        </w:rPr>
        <w:t xml:space="preserve"> values: </w:t>
      </w:r>
      <w:r w:rsidRPr="00B95900">
        <w:rPr>
          <w:i/>
          <w:iCs/>
          <w:color w:val="000000"/>
          <w:lang w:val="en-ID" w:eastAsia="ja-JP"/>
        </w:rPr>
        <w:t>r</w:t>
      </w:r>
      <w:r>
        <w:rPr>
          <w:color w:val="000000"/>
          <w:lang w:val="en-ID" w:eastAsia="ja-JP"/>
        </w:rPr>
        <w:t xml:space="preserve">, </w:t>
      </w:r>
      <w:r w:rsidRPr="00B95900">
        <w:rPr>
          <w:i/>
          <w:iCs/>
          <w:color w:val="000000"/>
          <w:lang w:val="en-ID" w:eastAsia="ja-JP"/>
        </w:rPr>
        <w:t>g</w:t>
      </w:r>
      <w:r>
        <w:rPr>
          <w:color w:val="000000"/>
          <w:lang w:val="en-ID" w:eastAsia="ja-JP"/>
        </w:rPr>
        <w:t xml:space="preserve">, </w:t>
      </w:r>
      <w:r w:rsidRPr="00B95900">
        <w:rPr>
          <w:i/>
          <w:iCs/>
          <w:color w:val="000000"/>
          <w:lang w:val="en-ID" w:eastAsia="ja-JP"/>
        </w:rPr>
        <w:t>b</w:t>
      </w:r>
      <w:r>
        <w:rPr>
          <w:color w:val="000000"/>
          <w:lang w:val="en-ID" w:eastAsia="ja-JP"/>
        </w:rPr>
        <w:t xml:space="preserve">, </w:t>
      </w:r>
      <w:r w:rsidRPr="00B95900">
        <w:rPr>
          <w:i/>
          <w:iCs/>
          <w:color w:val="000000"/>
          <w:lang w:val="en-ID" w:eastAsia="ja-JP"/>
        </w:rPr>
        <w:t>L</w:t>
      </w:r>
      <w:r>
        <w:rPr>
          <w:color w:val="000000"/>
          <w:lang w:val="en-ID" w:eastAsia="ja-JP"/>
        </w:rPr>
        <w:t xml:space="preserve">, </w:t>
      </w:r>
      <w:r w:rsidRPr="00B95900">
        <w:rPr>
          <w:i/>
          <w:iCs/>
          <w:color w:val="000000"/>
          <w:lang w:val="en-ID" w:eastAsia="ja-JP"/>
        </w:rPr>
        <w:t>a</w:t>
      </w:r>
      <w:r>
        <w:rPr>
          <w:color w:val="000000"/>
          <w:lang w:val="en-ID" w:eastAsia="ja-JP"/>
        </w:rPr>
        <w:t xml:space="preserve">, </w:t>
      </w:r>
      <w:r w:rsidRPr="00B95900">
        <w:rPr>
          <w:i/>
          <w:iCs/>
          <w:color w:val="000000"/>
          <w:lang w:val="en-ID" w:eastAsia="ja-JP"/>
        </w:rPr>
        <w:t>b</w:t>
      </w:r>
      <w:r>
        <w:rPr>
          <w:color w:val="000000"/>
          <w:lang w:val="en-ID" w:eastAsia="ja-JP"/>
        </w:rPr>
        <w:t xml:space="preserve">), and </w:t>
      </w:r>
      <w:r w:rsidRPr="00B95900">
        <w:rPr>
          <w:i/>
          <w:iCs/>
          <w:color w:val="000000"/>
          <w:lang w:val="en-ID" w:eastAsia="ja-JP"/>
        </w:rPr>
        <w:t>ε</w:t>
      </w:r>
      <w:r>
        <w:rPr>
          <w:color w:val="000000"/>
          <w:lang w:val="en-ID" w:eastAsia="ja-JP"/>
        </w:rPr>
        <w:t xml:space="preserve"> is the error term accounting for residual variation not captured by the model. The log transform, </w:t>
      </w:r>
      <w:r w:rsidRPr="00B95900">
        <w:rPr>
          <w:i/>
          <w:iCs/>
          <w:color w:val="000000"/>
          <w:lang w:val="en-ID" w:eastAsia="ja-JP"/>
        </w:rPr>
        <w:t>ln(x+1)</w:t>
      </w:r>
      <w:r>
        <w:rPr>
          <w:color w:val="000000"/>
          <w:lang w:val="en-ID" w:eastAsia="ja-JP"/>
        </w:rPr>
        <w:t xml:space="preserve">, was chosen to linearize the relationship between absorbance intensity and concentration, especially at higher levels. Ridge regularization with a penalty factor </w:t>
      </w:r>
      <w:r w:rsidRPr="00B95900">
        <w:rPr>
          <w:i/>
          <w:iCs/>
          <w:color w:val="000000"/>
          <w:lang w:val="en-ID" w:eastAsia="ja-JP"/>
        </w:rPr>
        <w:t>λ = 0.01</w:t>
      </w:r>
      <w:r>
        <w:rPr>
          <w:color w:val="000000"/>
          <w:lang w:val="en-ID" w:eastAsia="ja-JP"/>
        </w:rPr>
        <w:t xml:space="preserve"> was used to reduce multicollinearity among </w:t>
      </w:r>
      <w:proofErr w:type="spellStart"/>
      <w:r>
        <w:rPr>
          <w:color w:val="000000"/>
          <w:lang w:val="en-ID" w:eastAsia="ja-JP"/>
        </w:rPr>
        <w:t>color</w:t>
      </w:r>
      <w:proofErr w:type="spellEnd"/>
      <w:r>
        <w:rPr>
          <w:color w:val="000000"/>
          <w:lang w:val="en-ID" w:eastAsia="ja-JP"/>
        </w:rPr>
        <w:t xml:space="preserve"> channels, stabilize coefficient estimates, and enhance reproducibility.</w:t>
      </w:r>
    </w:p>
    <w:p w14:paraId="0CB85A89" w14:textId="77777777" w:rsidR="008A0AF2" w:rsidRDefault="008A0AF2">
      <w:pPr>
        <w:rPr>
          <w:color w:val="000000"/>
          <w:lang w:val="en-ID" w:eastAsia="ja-JP"/>
        </w:rPr>
      </w:pPr>
    </w:p>
    <w:p w14:paraId="6AB1F7B9" w14:textId="77777777" w:rsidR="008A0AF2" w:rsidRDefault="008A0AF2" w:rsidP="008A0AF2">
      <w:pPr>
        <w:ind w:firstLine="0"/>
        <w:jc w:val="center"/>
        <w:rPr>
          <w:sz w:val="24"/>
          <w:szCs w:val="24"/>
          <w:lang w:val="en-ID" w:eastAsia="ja-JP"/>
        </w:rPr>
      </w:pPr>
      <w:r>
        <w:rPr>
          <w:noProof/>
        </w:rPr>
        <w:drawing>
          <wp:inline distT="0" distB="0" distL="0" distR="0" wp14:anchorId="756E1D95" wp14:editId="1CF2A528">
            <wp:extent cx="2164428" cy="2067951"/>
            <wp:effectExtent l="0" t="0" r="7620" b="889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6"/>
                    <a:stretch>
                      <a:fillRect/>
                    </a:stretch>
                  </pic:blipFill>
                  <pic:spPr bwMode="auto">
                    <a:xfrm>
                      <a:off x="0" y="0"/>
                      <a:ext cx="2176691" cy="2079667"/>
                    </a:xfrm>
                    <a:prstGeom prst="rect">
                      <a:avLst/>
                    </a:prstGeom>
                  </pic:spPr>
                </pic:pic>
              </a:graphicData>
            </a:graphic>
          </wp:inline>
        </w:drawing>
      </w:r>
    </w:p>
    <w:p w14:paraId="1AE0B7CE" w14:textId="77777777" w:rsidR="008A0AF2" w:rsidRDefault="008A0AF2" w:rsidP="008A0AF2">
      <w:pPr>
        <w:ind w:firstLine="0"/>
        <w:jc w:val="center"/>
        <w:rPr>
          <w:sz w:val="24"/>
          <w:szCs w:val="24"/>
          <w:lang w:val="en-ID" w:eastAsia="ja-JP"/>
        </w:rPr>
      </w:pPr>
    </w:p>
    <w:p w14:paraId="26D27703" w14:textId="77777777" w:rsidR="008A0AF2" w:rsidRDefault="008A0AF2" w:rsidP="008A0AF2">
      <w:pPr>
        <w:jc w:val="center"/>
        <w:rPr>
          <w:color w:val="000000"/>
          <w:sz w:val="16"/>
          <w:szCs w:val="16"/>
          <w:lang w:val="en-ID" w:eastAsia="ja-JP"/>
        </w:rPr>
      </w:pPr>
      <w:r>
        <w:rPr>
          <w:color w:val="000000"/>
          <w:sz w:val="16"/>
          <w:szCs w:val="16"/>
          <w:lang w:val="en-ID" w:eastAsia="ja-JP"/>
        </w:rPr>
        <w:t>Figure 3. Offset adjustment.</w:t>
      </w:r>
    </w:p>
    <w:p w14:paraId="7F98DFE6" w14:textId="77777777" w:rsidR="008A0AF2" w:rsidRDefault="008A0AF2" w:rsidP="008A0AF2">
      <w:pPr>
        <w:ind w:firstLine="0"/>
        <w:jc w:val="center"/>
        <w:rPr>
          <w:sz w:val="24"/>
          <w:szCs w:val="24"/>
          <w:lang w:val="en-ID" w:eastAsia="ja-JP"/>
        </w:rPr>
      </w:pPr>
    </w:p>
    <w:p w14:paraId="30936F38" w14:textId="77777777" w:rsidR="00051088" w:rsidRDefault="00000000">
      <w:pPr>
        <w:ind w:firstLine="0"/>
        <w:jc w:val="center"/>
        <w:rPr>
          <w:sz w:val="24"/>
          <w:szCs w:val="24"/>
          <w:lang w:val="en-ID" w:eastAsia="ja-JP"/>
        </w:rPr>
      </w:pPr>
      <w:r>
        <w:rPr>
          <w:noProof/>
        </w:rPr>
        <w:drawing>
          <wp:inline distT="0" distB="0" distL="0" distR="0" wp14:anchorId="6FACCAD2" wp14:editId="24E5252F">
            <wp:extent cx="2271964"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rotWithShape="1">
                    <a:blip r:embed="rId17"/>
                    <a:srcRect l="6822" t="4444" r="4789" b="10654"/>
                    <a:stretch>
                      <a:fillRect/>
                    </a:stretch>
                  </pic:blipFill>
                  <pic:spPr bwMode="auto">
                    <a:xfrm>
                      <a:off x="0" y="0"/>
                      <a:ext cx="2312093" cy="1395826"/>
                    </a:xfrm>
                    <a:prstGeom prst="rect">
                      <a:avLst/>
                    </a:prstGeom>
                    <a:ln>
                      <a:noFill/>
                    </a:ln>
                    <a:extLst>
                      <a:ext uri="{53640926-AAD7-44D8-BBD7-CCE9431645EC}">
                        <a14:shadowObscured xmlns:a14="http://schemas.microsoft.com/office/drawing/2010/main"/>
                      </a:ext>
                    </a:extLst>
                  </pic:spPr>
                </pic:pic>
              </a:graphicData>
            </a:graphic>
          </wp:inline>
        </w:drawing>
      </w:r>
    </w:p>
    <w:p w14:paraId="231E7DB4" w14:textId="30C8B144" w:rsidR="00051088" w:rsidRDefault="00000000">
      <w:pPr>
        <w:spacing w:before="120" w:after="240"/>
        <w:ind w:firstLine="0"/>
        <w:jc w:val="center"/>
        <w:rPr>
          <w:sz w:val="24"/>
          <w:szCs w:val="24"/>
          <w:lang w:val="en-ID" w:eastAsia="ja-JP"/>
        </w:rPr>
      </w:pPr>
      <w:r>
        <w:rPr>
          <w:color w:val="000000"/>
          <w:sz w:val="16"/>
          <w:szCs w:val="16"/>
          <w:lang w:val="en-ID" w:eastAsia="ja-JP"/>
        </w:rPr>
        <w:t>Figure 4. Room database.</w:t>
      </w:r>
    </w:p>
    <w:p w14:paraId="0A51B24A" w14:textId="77777777" w:rsidR="00334F2D" w:rsidRDefault="00334F2D" w:rsidP="00334F2D">
      <w:pPr>
        <w:pStyle w:val="NormalWeb"/>
        <w:spacing w:before="0" w:after="0"/>
      </w:pPr>
      <w:r>
        <w:rPr>
          <w:noProof/>
        </w:rPr>
        <w:drawing>
          <wp:inline distT="0" distB="0" distL="0" distR="0" wp14:anchorId="356906A7" wp14:editId="57B4F72D">
            <wp:extent cx="2785208" cy="1249045"/>
            <wp:effectExtent l="0" t="0" r="0" b="8255"/>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18"/>
                    <a:stretch>
                      <a:fillRect/>
                    </a:stretch>
                  </pic:blipFill>
                  <pic:spPr bwMode="auto">
                    <a:xfrm>
                      <a:off x="0" y="0"/>
                      <a:ext cx="2786531" cy="1249638"/>
                    </a:xfrm>
                    <a:prstGeom prst="rect">
                      <a:avLst/>
                    </a:prstGeom>
                  </pic:spPr>
                </pic:pic>
              </a:graphicData>
            </a:graphic>
          </wp:inline>
        </w:drawing>
      </w:r>
      <w:r>
        <w:rPr>
          <w:noProof/>
        </w:rPr>
        <w:drawing>
          <wp:inline distT="0" distB="0" distL="0" distR="0" wp14:anchorId="083A7798" wp14:editId="460ABC70">
            <wp:extent cx="1110615" cy="97980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9"/>
                    <a:stretch>
                      <a:fillRect/>
                    </a:stretch>
                  </pic:blipFill>
                  <pic:spPr bwMode="auto">
                    <a:xfrm>
                      <a:off x="0" y="0"/>
                      <a:ext cx="1110615" cy="979805"/>
                    </a:xfrm>
                    <a:prstGeom prst="rect">
                      <a:avLst/>
                    </a:prstGeom>
                  </pic:spPr>
                </pic:pic>
              </a:graphicData>
            </a:graphic>
          </wp:inline>
        </w:drawing>
      </w:r>
      <w:r>
        <w:rPr>
          <w:noProof/>
        </w:rPr>
        <w:drawing>
          <wp:inline distT="0" distB="0" distL="0" distR="0" wp14:anchorId="24EBF3B3" wp14:editId="0AF0D9CB">
            <wp:extent cx="1673860" cy="10287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20"/>
                    <a:stretch>
                      <a:fillRect/>
                    </a:stretch>
                  </pic:blipFill>
                  <pic:spPr bwMode="auto">
                    <a:xfrm>
                      <a:off x="0" y="0"/>
                      <a:ext cx="1673860" cy="1028700"/>
                    </a:xfrm>
                    <a:prstGeom prst="rect">
                      <a:avLst/>
                    </a:prstGeom>
                  </pic:spPr>
                </pic:pic>
              </a:graphicData>
            </a:graphic>
          </wp:inline>
        </w:drawing>
      </w:r>
    </w:p>
    <w:p w14:paraId="7B318284" w14:textId="77777777" w:rsidR="00334F2D" w:rsidRDefault="00334F2D" w:rsidP="00334F2D">
      <w:pPr>
        <w:pStyle w:val="NormalWeb"/>
        <w:spacing w:before="120" w:after="240"/>
        <w:jc w:val="center"/>
      </w:pPr>
      <w:r>
        <w:rPr>
          <w:color w:val="000000"/>
          <w:sz w:val="16"/>
          <w:szCs w:val="16"/>
        </w:rPr>
        <w:t xml:space="preserve">Figure 5. 3D-schematic </w:t>
      </w:r>
      <w:proofErr w:type="spellStart"/>
      <w:r>
        <w:rPr>
          <w:color w:val="000000"/>
          <w:sz w:val="16"/>
          <w:szCs w:val="16"/>
        </w:rPr>
        <w:t>ilustration</w:t>
      </w:r>
      <w:proofErr w:type="spellEnd"/>
      <w:r>
        <w:rPr>
          <w:color w:val="000000"/>
          <w:sz w:val="16"/>
          <w:szCs w:val="16"/>
        </w:rPr>
        <w:t xml:space="preserve"> of the Sampling </w:t>
      </w:r>
      <w:proofErr w:type="gramStart"/>
      <w:r>
        <w:rPr>
          <w:color w:val="000000"/>
          <w:sz w:val="16"/>
          <w:szCs w:val="16"/>
        </w:rPr>
        <w:t>Station .</w:t>
      </w:r>
      <w:proofErr w:type="gramEnd"/>
    </w:p>
    <w:p w14:paraId="63C92B5E" w14:textId="5F139182" w:rsidR="00051088" w:rsidRDefault="00000000" w:rsidP="00AC0E29">
      <w:pPr>
        <w:rPr>
          <w:sz w:val="24"/>
          <w:szCs w:val="24"/>
          <w:lang w:val="en-ID" w:eastAsia="ja-JP"/>
        </w:rPr>
      </w:pPr>
      <w:r>
        <w:rPr>
          <w:color w:val="000000"/>
          <w:lang w:val="en-ID" w:eastAsia="ja-JP"/>
        </w:rPr>
        <w:t>All calibration data, regression coefficients, and measurement records were stored in an offline Room database (Figure 4). The schema includes tables for calibration entries, measurement history, and regression parameters, enabling persistent storage of calibration curves across sessions. This design ensures full operability in field conditions without internet access, supporting long-term monitoring where data continuity is essential. By decentralizing storage, the system guarantees transparency, reproducibility, and independence in resource-limited environments.</w:t>
      </w:r>
    </w:p>
    <w:p w14:paraId="3791B234" w14:textId="77777777" w:rsidR="00051088" w:rsidRDefault="00000000" w:rsidP="0057198C">
      <w:pPr>
        <w:pStyle w:val="Heading2"/>
        <w:ind w:left="357" w:hanging="357"/>
        <w:rPr>
          <w:color w:val="auto"/>
        </w:rPr>
      </w:pPr>
      <w:r>
        <w:rPr>
          <w:color w:val="auto"/>
        </w:rPr>
        <w:t>Hardware Configuration</w:t>
      </w:r>
    </w:p>
    <w:p w14:paraId="7B1A7825" w14:textId="077F93F9" w:rsidR="00051088" w:rsidRDefault="00000000" w:rsidP="00AC0E29">
      <w:pPr>
        <w:pStyle w:val="NormalWeb"/>
        <w:spacing w:before="0" w:after="0"/>
        <w:ind w:firstLine="357"/>
        <w:jc w:val="both"/>
      </w:pPr>
      <w:r>
        <w:rPr>
          <w:color w:val="000000"/>
          <w:sz w:val="20"/>
          <w:szCs w:val="20"/>
        </w:rPr>
        <w:t>The 3D-printed sampling station, made from PLA filament, was designed to securely hold standard cuvettes and dual smartphones for stable image capture. Its modular design includes a cuvette holder, a light-tight enclosure, and a rear cover to protect internal electronics while allowing easy maintenance (Figure 5). The station ensures precise positioning of both samples and cameras, maintaining consistent alignment during imaging. This design improves reproducibility and reduces external light interference, both of which are essential for accurate colorimetric measurements [</w:t>
      </w:r>
      <w:r w:rsidR="008F0973">
        <w:rPr>
          <w:color w:val="000000"/>
          <w:sz w:val="20"/>
          <w:szCs w:val="20"/>
        </w:rPr>
        <w:t>19</w:t>
      </w:r>
      <w:r>
        <w:rPr>
          <w:color w:val="000000"/>
          <w:sz w:val="20"/>
          <w:szCs w:val="20"/>
        </w:rPr>
        <w:t>], [</w:t>
      </w:r>
      <w:r w:rsidR="008F0973">
        <w:rPr>
          <w:color w:val="000000"/>
          <w:sz w:val="20"/>
          <w:szCs w:val="20"/>
        </w:rPr>
        <w:t>20</w:t>
      </w:r>
      <w:r>
        <w:rPr>
          <w:color w:val="000000"/>
          <w:sz w:val="20"/>
          <w:szCs w:val="20"/>
        </w:rPr>
        <w:t>].</w:t>
      </w:r>
    </w:p>
    <w:p w14:paraId="4180200C" w14:textId="77777777" w:rsidR="00051088" w:rsidRDefault="00000000" w:rsidP="00B95900">
      <w:pPr>
        <w:pStyle w:val="NormalWeb"/>
        <w:spacing w:before="0" w:after="0"/>
        <w:ind w:firstLine="357"/>
        <w:jc w:val="both"/>
        <w:rPr>
          <w:color w:val="000000"/>
          <w:sz w:val="20"/>
          <w:szCs w:val="20"/>
        </w:rPr>
      </w:pPr>
      <w:r>
        <w:rPr>
          <w:color w:val="000000"/>
          <w:sz w:val="20"/>
          <w:szCs w:val="20"/>
        </w:rPr>
        <w:t>A high-power LED provides illumination, carefully positioned to ensure even lighting across the cuvette. The LED is controlled by an ESP32 microcontroller, which manages timing and brightness, while power is supplied by a compact Li-ion battery for portability. The station includes basic circuit-stabilization components to prevent fluctuations during measurements, ensuring consistent data. Overall, this hardware setup creates a controlled, repeatable imaging environment, providing a solid foundation for accurate analysis.</w:t>
      </w:r>
    </w:p>
    <w:p w14:paraId="6B5A48E5" w14:textId="77777777" w:rsidR="00051088" w:rsidRDefault="00000000" w:rsidP="0057198C">
      <w:pPr>
        <w:pStyle w:val="Heading2"/>
        <w:ind w:left="357" w:hanging="357"/>
        <w:rPr>
          <w:color w:val="auto"/>
        </w:rPr>
      </w:pPr>
      <w:r>
        <w:rPr>
          <w:color w:val="auto"/>
        </w:rPr>
        <w:t>Experimental Setup</w:t>
      </w:r>
    </w:p>
    <w:p w14:paraId="01AB5F8C" w14:textId="29724AFF" w:rsidR="00051088" w:rsidRDefault="00000000" w:rsidP="00B95900">
      <w:pPr>
        <w:rPr>
          <w:sz w:val="24"/>
          <w:szCs w:val="24"/>
          <w:lang w:val="en-ID" w:eastAsia="ja-JP"/>
        </w:rPr>
      </w:pPr>
      <w:r>
        <w:rPr>
          <w:color w:val="000000"/>
          <w:lang w:val="en-ID" w:eastAsia="ja-JP"/>
        </w:rPr>
        <w:t>Experiments were conducted using synthetic dye solutions (red, yellow, and blue) prepared at concentrations ranging from 0–100% in 10% increments, following Lambert-Beer law principles for absorbance-based quantification [3]</w:t>
      </w:r>
      <w:proofErr w:type="gramStart"/>
      <w:r w:rsidR="00193869">
        <w:t>–</w:t>
      </w:r>
      <w:r w:rsidR="00193869">
        <w:rPr>
          <w:color w:val="000000"/>
          <w:lang w:val="en-ID" w:eastAsia="ja-JP"/>
        </w:rPr>
        <w:t>[</w:t>
      </w:r>
      <w:proofErr w:type="gramEnd"/>
      <w:r w:rsidR="00193869">
        <w:rPr>
          <w:color w:val="000000"/>
          <w:lang w:val="en-ID" w:eastAsia="ja-JP"/>
        </w:rPr>
        <w:t>5]</w:t>
      </w:r>
      <w:r>
        <w:rPr>
          <w:color w:val="000000"/>
          <w:lang w:val="en-ID" w:eastAsia="ja-JP"/>
        </w:rPr>
        <w:t xml:space="preserve">. Each sample was placed in a 4 mL cuvette within the 3D-printed sampling station, with smartphones aligned via integrated holders to ensure consistent ROI capture. To evaluate the effect of ambient light, a subset of cuvettes was measured outside the </w:t>
      </w:r>
      <w:r>
        <w:rPr>
          <w:color w:val="000000"/>
          <w:lang w:val="en-ID" w:eastAsia="ja-JP"/>
        </w:rPr>
        <w:lastRenderedPageBreak/>
        <w:t>station; results demonstrated that the station substantially improved measurement reproducibility without requiring specialized laboratory conditions for calibration, a bundle of known samples (one from each dye) was measured first, followed by three replicates (</w:t>
      </w:r>
      <w:r w:rsidRPr="00B95900">
        <w:rPr>
          <w:i/>
          <w:iCs/>
          <w:color w:val="000000"/>
          <w:lang w:val="en-ID" w:eastAsia="ja-JP"/>
        </w:rPr>
        <w:t>n=3</w:t>
      </w:r>
      <w:r>
        <w:rPr>
          <w:color w:val="000000"/>
          <w:lang w:val="en-ID" w:eastAsia="ja-JP"/>
        </w:rPr>
        <w:t>) per concentration under controlled ambient light (&lt;50 lux) and temperature (25±2°C). </w:t>
      </w:r>
    </w:p>
    <w:p w14:paraId="6D92E78D" w14:textId="27BB9E59" w:rsidR="00051088" w:rsidRDefault="00000000" w:rsidP="00B95900">
      <w:pPr>
        <w:rPr>
          <w:sz w:val="24"/>
          <w:szCs w:val="24"/>
          <w:lang w:val="en-ID" w:eastAsia="ja-JP"/>
        </w:rPr>
      </w:pPr>
      <w:r>
        <w:rPr>
          <w:color w:val="000000"/>
          <w:lang w:val="en-ID" w:eastAsia="ja-JP"/>
        </w:rPr>
        <w:t>The setup, depicted in Figure 6, integrates the smartphone and the sampling station to maintain consistent and reproducible measurement conditions.</w:t>
      </w:r>
    </w:p>
    <w:p w14:paraId="07E8C98E" w14:textId="168D87AA" w:rsidR="00051088" w:rsidRDefault="00000000" w:rsidP="00B95900">
      <w:pPr>
        <w:rPr>
          <w:color w:val="000000"/>
          <w:lang w:val="en-ID" w:eastAsia="ja-JP"/>
        </w:rPr>
      </w:pPr>
      <w:r>
        <w:rPr>
          <w:color w:val="000000"/>
          <w:lang w:val="en-ID" w:eastAsia="ja-JP"/>
        </w:rPr>
        <w:t xml:space="preserve">Illumination was controlled either via Bluetooth through the ESP32 microcontroller or manually with a momentary push button, ensuring consistent lighting and fixed geometry across all trials. Images were captured at 480×640 resolution using the </w:t>
      </w:r>
      <w:proofErr w:type="spellStart"/>
      <w:r>
        <w:rPr>
          <w:color w:val="000000"/>
          <w:lang w:val="en-ID" w:eastAsia="ja-JP"/>
        </w:rPr>
        <w:t>CameraX</w:t>
      </w:r>
      <w:proofErr w:type="spellEnd"/>
      <w:r>
        <w:rPr>
          <w:color w:val="000000"/>
          <w:lang w:val="en-ID" w:eastAsia="ja-JP"/>
        </w:rPr>
        <w:t xml:space="preserve"> library. A 30×</w:t>
      </w:r>
      <w:proofErr w:type="gramStart"/>
      <w:r>
        <w:rPr>
          <w:color w:val="000000"/>
          <w:lang w:val="en-ID" w:eastAsia="ja-JP"/>
        </w:rPr>
        <w:t>30 pixel</w:t>
      </w:r>
      <w:proofErr w:type="gramEnd"/>
      <w:r>
        <w:rPr>
          <w:color w:val="000000"/>
          <w:lang w:val="en-ID" w:eastAsia="ja-JP"/>
        </w:rPr>
        <w:t xml:space="preserve"> ROI was extracted, averaged, and converted from RGB to CIELAB. The calibration and prediction pipeline uses this conversion to minimize device-specific variation. Regression models were trained separately for each dye using three-channel CIELAB inputs with an </w:t>
      </w:r>
      <w:r w:rsidRPr="00B95900">
        <w:rPr>
          <w:i/>
          <w:iCs/>
          <w:color w:val="000000"/>
          <w:lang w:val="en-ID" w:eastAsia="ja-JP"/>
        </w:rPr>
        <w:t>ln(x+1)</w:t>
      </w:r>
      <w:r>
        <w:rPr>
          <w:color w:val="000000"/>
          <w:lang w:val="en-ID" w:eastAsia="ja-JP"/>
        </w:rPr>
        <w:t xml:space="preserve"> transformation to address non-linearities. Bluetooth communication, shown in Figure 7, enabled smooth interaction between the mobile application and microcontroller, supporting both system calibration and testing. This integrated setup enabled reliable, repeatable data collection under field-like conditions, reducing dependence on traditional laboratory infrastructure while maintaining measurement accuracy.</w:t>
      </w:r>
    </w:p>
    <w:p w14:paraId="7114FC1C" w14:textId="77777777" w:rsidR="00334F2D" w:rsidRDefault="00334F2D" w:rsidP="00334F2D">
      <w:pPr>
        <w:ind w:firstLine="142"/>
        <w:jc w:val="center"/>
        <w:rPr>
          <w:sz w:val="24"/>
          <w:szCs w:val="24"/>
          <w:lang w:val="en-ID" w:eastAsia="ja-JP"/>
        </w:rPr>
      </w:pPr>
      <w:r>
        <w:rPr>
          <w:noProof/>
        </w:rPr>
        <w:drawing>
          <wp:inline distT="0" distB="0" distL="0" distR="0" wp14:anchorId="4774CFD5" wp14:editId="6755F00C">
            <wp:extent cx="2654300" cy="1993265"/>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pic:cNvPicPr>
                      <a:picLocks noChangeAspect="1" noChangeArrowheads="1"/>
                    </pic:cNvPicPr>
                  </pic:nvPicPr>
                  <pic:blipFill>
                    <a:blip r:embed="rId21"/>
                    <a:stretch>
                      <a:fillRect/>
                    </a:stretch>
                  </pic:blipFill>
                  <pic:spPr bwMode="auto">
                    <a:xfrm>
                      <a:off x="0" y="0"/>
                      <a:ext cx="2654300" cy="1993265"/>
                    </a:xfrm>
                    <a:prstGeom prst="rect">
                      <a:avLst/>
                    </a:prstGeom>
                  </pic:spPr>
                </pic:pic>
              </a:graphicData>
            </a:graphic>
          </wp:inline>
        </w:drawing>
      </w:r>
    </w:p>
    <w:p w14:paraId="4D18B216" w14:textId="77777777" w:rsidR="00334F2D" w:rsidRDefault="00334F2D" w:rsidP="00334F2D">
      <w:pPr>
        <w:spacing w:before="120" w:after="240"/>
        <w:ind w:firstLine="0"/>
        <w:jc w:val="center"/>
        <w:rPr>
          <w:sz w:val="24"/>
          <w:szCs w:val="24"/>
          <w:lang w:val="en-ID" w:eastAsia="ja-JP"/>
        </w:rPr>
      </w:pPr>
      <w:r>
        <w:rPr>
          <w:color w:val="000000"/>
          <w:sz w:val="16"/>
          <w:szCs w:val="16"/>
          <w:lang w:val="en-ID" w:eastAsia="ja-JP"/>
        </w:rPr>
        <w:t>Figure 6. Experimental setup.</w:t>
      </w:r>
    </w:p>
    <w:p w14:paraId="1EE277A7" w14:textId="77777777" w:rsidR="00334F2D" w:rsidRDefault="00334F2D">
      <w:pPr>
        <w:ind w:firstLine="426"/>
        <w:rPr>
          <w:color w:val="000000"/>
          <w:lang w:val="en-ID" w:eastAsia="ja-JP"/>
        </w:rPr>
      </w:pPr>
    </w:p>
    <w:p w14:paraId="7C3E8D2A" w14:textId="77777777" w:rsidR="00334F2D" w:rsidRDefault="00334F2D" w:rsidP="00334F2D">
      <w:pPr>
        <w:ind w:firstLine="0"/>
        <w:jc w:val="center"/>
        <w:rPr>
          <w:sz w:val="24"/>
          <w:szCs w:val="24"/>
          <w:lang w:val="en-ID" w:eastAsia="ja-JP"/>
        </w:rPr>
      </w:pPr>
      <w:r>
        <w:rPr>
          <w:noProof/>
        </w:rPr>
        <w:drawing>
          <wp:inline distT="0" distB="0" distL="0" distR="0" wp14:anchorId="3CDFEFF5" wp14:editId="76056F74">
            <wp:extent cx="2710815" cy="1873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2"/>
                    <a:stretch>
                      <a:fillRect/>
                    </a:stretch>
                  </pic:blipFill>
                  <pic:spPr bwMode="auto">
                    <a:xfrm>
                      <a:off x="0" y="0"/>
                      <a:ext cx="2710815" cy="1873250"/>
                    </a:xfrm>
                    <a:prstGeom prst="rect">
                      <a:avLst/>
                    </a:prstGeom>
                  </pic:spPr>
                </pic:pic>
              </a:graphicData>
            </a:graphic>
          </wp:inline>
        </w:drawing>
      </w:r>
    </w:p>
    <w:p w14:paraId="06BA8729" w14:textId="77777777" w:rsidR="00334F2D" w:rsidRDefault="00334F2D" w:rsidP="00334F2D">
      <w:pPr>
        <w:spacing w:before="120" w:after="240"/>
        <w:ind w:firstLine="0"/>
        <w:jc w:val="center"/>
        <w:rPr>
          <w:sz w:val="24"/>
          <w:szCs w:val="24"/>
          <w:lang w:val="en-ID" w:eastAsia="ja-JP"/>
        </w:rPr>
      </w:pPr>
      <w:r>
        <w:rPr>
          <w:color w:val="000000"/>
          <w:sz w:val="16"/>
          <w:szCs w:val="16"/>
          <w:lang w:val="en-ID" w:eastAsia="ja-JP"/>
        </w:rPr>
        <w:t>Figure 7. Bluetooth communication.</w:t>
      </w:r>
    </w:p>
    <w:p w14:paraId="44C1640C" w14:textId="77777777" w:rsidR="00334F2D" w:rsidRDefault="00334F2D" w:rsidP="00334F2D">
      <w:pPr>
        <w:ind w:firstLine="0"/>
        <w:jc w:val="center"/>
        <w:rPr>
          <w:sz w:val="24"/>
          <w:szCs w:val="24"/>
          <w:lang w:val="en-ID" w:eastAsia="ja-JP"/>
        </w:rPr>
      </w:pPr>
      <w:r>
        <w:rPr>
          <w:noProof/>
        </w:rPr>
        <w:drawing>
          <wp:inline distT="0" distB="0" distL="0" distR="0" wp14:anchorId="79EA3161" wp14:editId="287547AE">
            <wp:extent cx="1534795" cy="2049145"/>
            <wp:effectExtent l="0" t="0" r="0" b="0"/>
            <wp:docPr id="10" name="Picture 13" descr="A hand holding a test tube with red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A hand holding a test tube with red liquid&#10;&#10;AI-generated content may be incorrect."/>
                    <pic:cNvPicPr>
                      <a:picLocks noChangeAspect="1" noChangeArrowheads="1"/>
                    </pic:cNvPicPr>
                  </pic:nvPicPr>
                  <pic:blipFill>
                    <a:blip r:embed="rId23"/>
                    <a:stretch>
                      <a:fillRect/>
                    </a:stretch>
                  </pic:blipFill>
                  <pic:spPr bwMode="auto">
                    <a:xfrm>
                      <a:off x="0" y="0"/>
                      <a:ext cx="1534795" cy="2049145"/>
                    </a:xfrm>
                    <a:prstGeom prst="rect">
                      <a:avLst/>
                    </a:prstGeom>
                  </pic:spPr>
                </pic:pic>
              </a:graphicData>
            </a:graphic>
          </wp:inline>
        </w:drawing>
      </w:r>
    </w:p>
    <w:p w14:paraId="4A27F4E1" w14:textId="77777777" w:rsidR="00334F2D" w:rsidRDefault="00334F2D" w:rsidP="00334F2D">
      <w:pPr>
        <w:spacing w:before="120" w:after="240"/>
        <w:ind w:firstLine="0"/>
        <w:jc w:val="center"/>
        <w:rPr>
          <w:sz w:val="24"/>
          <w:szCs w:val="24"/>
          <w:lang w:val="en-ID" w:eastAsia="ja-JP"/>
        </w:rPr>
      </w:pPr>
      <w:r>
        <w:rPr>
          <w:color w:val="000000"/>
          <w:sz w:val="16"/>
          <w:szCs w:val="16"/>
          <w:lang w:val="en-ID" w:eastAsia="ja-JP"/>
        </w:rPr>
        <w:t>Figure 8. 3D-printed sampling station with cuvette.</w:t>
      </w:r>
    </w:p>
    <w:p w14:paraId="08890E9A" w14:textId="77777777" w:rsidR="00051088" w:rsidRDefault="00000000" w:rsidP="0057198C">
      <w:pPr>
        <w:pStyle w:val="Heading1"/>
        <w:ind w:left="357" w:hanging="357"/>
        <w:rPr>
          <w:color w:val="FF0000"/>
        </w:rPr>
      </w:pPr>
      <w:r>
        <w:t>Results</w:t>
      </w:r>
    </w:p>
    <w:p w14:paraId="0D01DE66" w14:textId="77777777" w:rsidR="00051088" w:rsidRDefault="00000000" w:rsidP="0057198C">
      <w:pPr>
        <w:pStyle w:val="Heading2"/>
        <w:numPr>
          <w:ilvl w:val="0"/>
          <w:numId w:val="13"/>
        </w:numPr>
        <w:ind w:left="357" w:hanging="357"/>
        <w:rPr>
          <w:color w:val="000000" w:themeColor="dark1"/>
        </w:rPr>
      </w:pPr>
      <w:r>
        <w:rPr>
          <w:color w:val="000000" w:themeColor="dark1"/>
        </w:rPr>
        <w:t>System Demonstration</w:t>
      </w:r>
    </w:p>
    <w:p w14:paraId="48F5F1D7" w14:textId="02CCDADA" w:rsidR="00051088" w:rsidRDefault="00000000" w:rsidP="00B95900">
      <w:pPr>
        <w:rPr>
          <w:color w:val="000000"/>
          <w:lang w:val="en-ID" w:eastAsia="ja-JP"/>
        </w:rPr>
      </w:pPr>
      <w:r>
        <w:rPr>
          <w:color w:val="000000"/>
          <w:lang w:val="en-ID" w:eastAsia="ja-JP"/>
        </w:rPr>
        <w:t>The 3D-printed sampling station, made from PLA filament, effectively blocked ambient light from reaching the cuvette, preventing any interference during image capture. Comparative measurements with and without the station (Table I) showed a slight improvement in predictive accuracy when using the light-tight chamber. The chamber reliably held standard 4 mL cuvettes, keeping the samples stable across replicates, while built-in smartphone holders ensured accurate camera positioning. Its compact design and compatibility with standard cuvettes make it suitable for portable, field-based use (Figure 8).</w:t>
      </w:r>
    </w:p>
    <w:p w14:paraId="545604D4" w14:textId="79604DEF" w:rsidR="00334F2D" w:rsidRDefault="00334F2D" w:rsidP="00B95900">
      <w:pPr>
        <w:rPr>
          <w:color w:val="000000"/>
          <w:lang w:val="en-ID" w:eastAsia="ja-JP"/>
        </w:rPr>
      </w:pPr>
      <w:r>
        <w:rPr>
          <w:color w:val="000000"/>
          <w:lang w:val="en-ID" w:eastAsia="ja-JP"/>
        </w:rPr>
        <w:t xml:space="preserve">The Android app captured images at 480×640 pixels using the </w:t>
      </w:r>
      <w:proofErr w:type="spellStart"/>
      <w:r>
        <w:rPr>
          <w:color w:val="000000"/>
          <w:lang w:val="en-ID" w:eastAsia="ja-JP"/>
        </w:rPr>
        <w:t>CameraX</w:t>
      </w:r>
      <w:proofErr w:type="spellEnd"/>
      <w:r>
        <w:rPr>
          <w:color w:val="000000"/>
          <w:lang w:val="en-ID" w:eastAsia="ja-JP"/>
        </w:rPr>
        <w:t xml:space="preserve"> library, targeting a 30×30-pixel ROI. Mean RGB values were extracted and converted to CIELAB coordinates in real time, with an average processing time of 500 </w:t>
      </w:r>
      <w:proofErr w:type="spellStart"/>
      <w:r>
        <w:rPr>
          <w:color w:val="000000"/>
          <w:lang w:val="en-ID" w:eastAsia="ja-JP"/>
        </w:rPr>
        <w:t>ms</w:t>
      </w:r>
      <w:proofErr w:type="spellEnd"/>
      <w:r>
        <w:rPr>
          <w:color w:val="000000"/>
          <w:lang w:val="en-ID" w:eastAsia="ja-JP"/>
        </w:rPr>
        <w:t xml:space="preserve"> per sample. Calibration blanking, normalized measurements, and MLR with </w:t>
      </w:r>
      <w:r w:rsidRPr="00B95900">
        <w:rPr>
          <w:i/>
          <w:iCs/>
          <w:color w:val="000000"/>
          <w:lang w:val="en-ID" w:eastAsia="ja-JP"/>
        </w:rPr>
        <w:t>ln(x+1)</w:t>
      </w:r>
      <w:r>
        <w:rPr>
          <w:color w:val="000000"/>
          <w:lang w:val="en-ID" w:eastAsia="ja-JP"/>
        </w:rPr>
        <w:t xml:space="preserve"> transformation accurately predicted analyte concentrations. The bilingual interface (Indonesian-English) offered intuitive navigation and real-time readouts on the detection screen (Figure 9).</w:t>
      </w:r>
    </w:p>
    <w:p w14:paraId="6A9BDAE4" w14:textId="77777777" w:rsidR="00AB61FE" w:rsidRDefault="00AB61FE" w:rsidP="00AB61FE">
      <w:pPr>
        <w:ind w:firstLine="0"/>
        <w:jc w:val="center"/>
        <w:rPr>
          <w:sz w:val="24"/>
          <w:szCs w:val="24"/>
          <w:lang w:val="en-ID" w:eastAsia="ja-JP"/>
        </w:rPr>
      </w:pPr>
      <w:r>
        <w:rPr>
          <w:smallCaps/>
          <w:color w:val="000000"/>
          <w:sz w:val="16"/>
          <w:szCs w:val="16"/>
          <w:lang w:val="en-ID" w:eastAsia="ja-JP"/>
        </w:rPr>
        <w:t>Table I</w:t>
      </w:r>
    </w:p>
    <w:p w14:paraId="78295F0D" w14:textId="77777777" w:rsidR="00AB61FE" w:rsidRDefault="00AB61FE" w:rsidP="00AB61FE">
      <w:pPr>
        <w:ind w:firstLine="0"/>
        <w:jc w:val="center"/>
        <w:rPr>
          <w:sz w:val="24"/>
          <w:szCs w:val="24"/>
          <w:lang w:val="en-ID" w:eastAsia="ja-JP"/>
        </w:rPr>
      </w:pPr>
      <w:r>
        <w:rPr>
          <w:smallCaps/>
          <w:color w:val="000000"/>
          <w:sz w:val="16"/>
          <w:szCs w:val="16"/>
          <w:lang w:val="en-ID" w:eastAsia="ja-JP"/>
        </w:rPr>
        <w:t>Effect of sampling station on measured concentration</w:t>
      </w:r>
    </w:p>
    <w:tbl>
      <w:tblPr>
        <w:tblW w:w="4046" w:type="dxa"/>
        <w:jc w:val="center"/>
        <w:tblLayout w:type="fixed"/>
        <w:tblCellMar>
          <w:left w:w="115" w:type="dxa"/>
          <w:right w:w="115" w:type="dxa"/>
        </w:tblCellMar>
        <w:tblLook w:val="04A0" w:firstRow="1" w:lastRow="0" w:firstColumn="1" w:lastColumn="0" w:noHBand="0" w:noVBand="1"/>
      </w:tblPr>
      <w:tblGrid>
        <w:gridCol w:w="929"/>
        <w:gridCol w:w="683"/>
        <w:gridCol w:w="1107"/>
        <w:gridCol w:w="1327"/>
      </w:tblGrid>
      <w:tr w:rsidR="00AB61FE" w14:paraId="6651A21A" w14:textId="77777777" w:rsidTr="00250656">
        <w:trPr>
          <w:trHeight w:val="135"/>
          <w:jc w:val="center"/>
        </w:trPr>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66306A16" w14:textId="77777777" w:rsidR="00AB61FE" w:rsidRDefault="00AB61FE" w:rsidP="00250656">
            <w:pPr>
              <w:ind w:firstLine="0"/>
              <w:jc w:val="left"/>
              <w:rPr>
                <w:sz w:val="24"/>
                <w:szCs w:val="24"/>
                <w:lang w:val="en-ID" w:eastAsia="ja-JP"/>
              </w:rPr>
            </w:pPr>
            <w:r>
              <w:rPr>
                <w:b/>
                <w:bCs/>
                <w:color w:val="000000"/>
                <w:sz w:val="16"/>
                <w:szCs w:val="16"/>
                <w:lang w:val="en-ID" w:eastAsia="ja-JP"/>
              </w:rPr>
              <w:t xml:space="preserve">Dye </w:t>
            </w:r>
            <w:proofErr w:type="spellStart"/>
            <w:r>
              <w:rPr>
                <w:b/>
                <w:bCs/>
                <w:color w:val="000000"/>
                <w:sz w:val="16"/>
                <w:szCs w:val="16"/>
                <w:lang w:val="en-ID" w:eastAsia="ja-JP"/>
              </w:rPr>
              <w:t>Color</w:t>
            </w:r>
            <w:proofErr w:type="spellEnd"/>
          </w:p>
        </w:tc>
        <w:tc>
          <w:tcPr>
            <w:tcW w:w="3117" w:type="dxa"/>
            <w:gridSpan w:val="3"/>
            <w:tcBorders>
              <w:top w:val="single" w:sz="4" w:space="0" w:color="000000"/>
              <w:left w:val="single" w:sz="4" w:space="0" w:color="000000"/>
              <w:bottom w:val="single" w:sz="4" w:space="0" w:color="000000"/>
              <w:right w:val="single" w:sz="4" w:space="0" w:color="000000"/>
            </w:tcBorders>
          </w:tcPr>
          <w:p w14:paraId="6A62AB47" w14:textId="77777777" w:rsidR="00AB61FE" w:rsidRDefault="00AB61FE" w:rsidP="00250656">
            <w:pPr>
              <w:ind w:firstLine="0"/>
              <w:jc w:val="center"/>
              <w:rPr>
                <w:sz w:val="24"/>
                <w:szCs w:val="24"/>
                <w:lang w:val="en-ID" w:eastAsia="ja-JP"/>
              </w:rPr>
            </w:pPr>
            <w:r>
              <w:rPr>
                <w:b/>
                <w:bCs/>
                <w:color w:val="000000"/>
                <w:sz w:val="16"/>
                <w:szCs w:val="16"/>
                <w:lang w:val="en-ID" w:eastAsia="ja-JP"/>
              </w:rPr>
              <w:t>Concentration (%)</w:t>
            </w:r>
          </w:p>
        </w:tc>
      </w:tr>
      <w:tr w:rsidR="00AB61FE" w14:paraId="187333F4" w14:textId="77777777" w:rsidTr="00250656">
        <w:trPr>
          <w:trHeight w:val="142"/>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C49B15" w14:textId="77777777" w:rsidR="00AB61FE" w:rsidRDefault="00AB61FE" w:rsidP="00250656"/>
        </w:tc>
        <w:tc>
          <w:tcPr>
            <w:tcW w:w="683" w:type="dxa"/>
            <w:tcBorders>
              <w:top w:val="single" w:sz="4" w:space="0" w:color="000000"/>
              <w:left w:val="single" w:sz="4" w:space="0" w:color="000000"/>
              <w:bottom w:val="single" w:sz="4" w:space="0" w:color="000000"/>
              <w:right w:val="single" w:sz="4" w:space="0" w:color="000000"/>
            </w:tcBorders>
            <w:vAlign w:val="center"/>
          </w:tcPr>
          <w:p w14:paraId="657E5416" w14:textId="77777777" w:rsidR="00AB61FE" w:rsidRDefault="00AB61FE" w:rsidP="00250656">
            <w:pPr>
              <w:ind w:firstLine="0"/>
              <w:jc w:val="left"/>
              <w:rPr>
                <w:sz w:val="24"/>
                <w:szCs w:val="24"/>
                <w:lang w:val="en-ID" w:eastAsia="ja-JP"/>
              </w:rPr>
            </w:pPr>
            <w:r>
              <w:rPr>
                <w:b/>
                <w:bCs/>
                <w:color w:val="000000"/>
                <w:sz w:val="16"/>
                <w:szCs w:val="16"/>
                <w:lang w:val="en-ID" w:eastAsia="ja-JP"/>
              </w:rPr>
              <w:t>Actual</w:t>
            </w:r>
          </w:p>
        </w:tc>
        <w:tc>
          <w:tcPr>
            <w:tcW w:w="1107" w:type="dxa"/>
            <w:tcBorders>
              <w:top w:val="single" w:sz="4" w:space="0" w:color="000000"/>
              <w:left w:val="single" w:sz="4" w:space="0" w:color="000000"/>
              <w:bottom w:val="single" w:sz="4" w:space="0" w:color="000000"/>
              <w:right w:val="single" w:sz="4" w:space="0" w:color="000000"/>
            </w:tcBorders>
            <w:vAlign w:val="center"/>
          </w:tcPr>
          <w:p w14:paraId="3A6CB991" w14:textId="77777777" w:rsidR="00AB61FE" w:rsidRDefault="00AB61FE" w:rsidP="00250656">
            <w:pPr>
              <w:ind w:firstLine="0"/>
              <w:jc w:val="left"/>
              <w:rPr>
                <w:sz w:val="24"/>
                <w:szCs w:val="24"/>
                <w:lang w:val="en-ID" w:eastAsia="ja-JP"/>
              </w:rPr>
            </w:pPr>
            <w:r>
              <w:rPr>
                <w:b/>
                <w:bCs/>
                <w:color w:val="000000"/>
                <w:sz w:val="16"/>
                <w:szCs w:val="16"/>
                <w:lang w:val="en-ID" w:eastAsia="ja-JP"/>
              </w:rPr>
              <w:t>With Station</w:t>
            </w:r>
          </w:p>
          <w:p w14:paraId="7817C6E4" w14:textId="77777777" w:rsidR="00AB61FE" w:rsidRDefault="00AB61FE" w:rsidP="00250656">
            <w:pPr>
              <w:ind w:firstLine="0"/>
              <w:jc w:val="left"/>
              <w:rPr>
                <w:sz w:val="24"/>
                <w:szCs w:val="24"/>
                <w:lang w:val="en-ID" w:eastAsia="ja-JP"/>
              </w:rPr>
            </w:pPr>
            <w:r>
              <w:rPr>
                <w:b/>
                <w:bCs/>
                <w:color w:val="000000"/>
                <w:sz w:val="16"/>
                <w:szCs w:val="16"/>
                <w:lang w:val="en-ID" w:eastAsia="ja-JP"/>
              </w:rPr>
              <w:t>(</w:t>
            </w:r>
            <w:proofErr w:type="spellStart"/>
            <w:r>
              <w:rPr>
                <w:b/>
                <w:bCs/>
                <w:color w:val="000000"/>
                <w:sz w:val="16"/>
                <w:szCs w:val="16"/>
                <w:lang w:val="en-ID" w:eastAsia="ja-JP"/>
              </w:rPr>
              <w:t>Avg</w:t>
            </w:r>
            <w:proofErr w:type="spellEnd"/>
            <w:r>
              <w:rPr>
                <w:b/>
                <w:bCs/>
                <w:color w:val="000000"/>
                <w:sz w:val="16"/>
                <w:szCs w:val="16"/>
                <w:lang w:val="en-ID" w:eastAsia="ja-JP"/>
              </w:rPr>
              <w:t xml:space="preserve"> </w:t>
            </w:r>
            <w:r w:rsidRPr="00B95900">
              <w:rPr>
                <w:b/>
                <w:bCs/>
                <w:i/>
                <w:iCs/>
                <w:color w:val="000000"/>
                <w:sz w:val="16"/>
                <w:szCs w:val="16"/>
                <w:lang w:val="en-ID" w:eastAsia="ja-JP"/>
              </w:rPr>
              <w:t>n=3</w:t>
            </w:r>
            <w:r>
              <w:rPr>
                <w:b/>
                <w:bCs/>
                <w:color w:val="000000"/>
                <w:sz w:val="16"/>
                <w:szCs w:val="16"/>
                <w:lang w:val="en-ID" w:eastAsia="ja-JP"/>
              </w:rPr>
              <w:t>)</w:t>
            </w:r>
          </w:p>
        </w:tc>
        <w:tc>
          <w:tcPr>
            <w:tcW w:w="1327" w:type="dxa"/>
            <w:tcBorders>
              <w:top w:val="single" w:sz="4" w:space="0" w:color="000000"/>
              <w:left w:val="single" w:sz="4" w:space="0" w:color="000000"/>
              <w:bottom w:val="single" w:sz="4" w:space="0" w:color="000000"/>
              <w:right w:val="single" w:sz="4" w:space="0" w:color="000000"/>
            </w:tcBorders>
            <w:vAlign w:val="center"/>
          </w:tcPr>
          <w:p w14:paraId="43360327" w14:textId="77777777" w:rsidR="00AB61FE" w:rsidRDefault="00AB61FE" w:rsidP="00250656">
            <w:pPr>
              <w:ind w:firstLine="0"/>
              <w:jc w:val="left"/>
              <w:rPr>
                <w:sz w:val="24"/>
                <w:szCs w:val="24"/>
                <w:lang w:val="en-ID" w:eastAsia="ja-JP"/>
              </w:rPr>
            </w:pPr>
            <w:r>
              <w:rPr>
                <w:b/>
                <w:bCs/>
                <w:color w:val="000000"/>
                <w:sz w:val="16"/>
                <w:szCs w:val="16"/>
                <w:lang w:val="en-ID" w:eastAsia="ja-JP"/>
              </w:rPr>
              <w:t>Without Station</w:t>
            </w:r>
          </w:p>
          <w:p w14:paraId="0A23BF6B" w14:textId="77777777" w:rsidR="00AB61FE" w:rsidRDefault="00AB61FE" w:rsidP="00250656">
            <w:pPr>
              <w:ind w:firstLine="0"/>
              <w:jc w:val="left"/>
              <w:rPr>
                <w:sz w:val="24"/>
                <w:szCs w:val="24"/>
                <w:lang w:val="en-ID" w:eastAsia="ja-JP"/>
              </w:rPr>
            </w:pPr>
            <w:r>
              <w:rPr>
                <w:b/>
                <w:bCs/>
                <w:color w:val="000000"/>
                <w:sz w:val="16"/>
                <w:szCs w:val="16"/>
                <w:lang w:val="en-ID" w:eastAsia="ja-JP"/>
              </w:rPr>
              <w:t>(</w:t>
            </w:r>
            <w:proofErr w:type="spellStart"/>
            <w:r>
              <w:rPr>
                <w:b/>
                <w:bCs/>
                <w:color w:val="000000"/>
                <w:sz w:val="16"/>
                <w:szCs w:val="16"/>
                <w:lang w:val="en-ID" w:eastAsia="ja-JP"/>
              </w:rPr>
              <w:t>Avg</w:t>
            </w:r>
            <w:proofErr w:type="spellEnd"/>
            <w:r>
              <w:rPr>
                <w:b/>
                <w:bCs/>
                <w:color w:val="000000"/>
                <w:sz w:val="16"/>
                <w:szCs w:val="16"/>
                <w:lang w:val="en-ID" w:eastAsia="ja-JP"/>
              </w:rPr>
              <w:t xml:space="preserve"> </w:t>
            </w:r>
            <w:r w:rsidRPr="00B95900">
              <w:rPr>
                <w:b/>
                <w:bCs/>
                <w:i/>
                <w:iCs/>
                <w:color w:val="000000"/>
                <w:sz w:val="16"/>
                <w:szCs w:val="16"/>
                <w:lang w:val="en-ID" w:eastAsia="ja-JP"/>
              </w:rPr>
              <w:t>n=3</w:t>
            </w:r>
            <w:r>
              <w:rPr>
                <w:b/>
                <w:bCs/>
                <w:color w:val="000000"/>
                <w:sz w:val="16"/>
                <w:szCs w:val="16"/>
                <w:lang w:val="en-ID" w:eastAsia="ja-JP"/>
              </w:rPr>
              <w:t>)</w:t>
            </w:r>
          </w:p>
        </w:tc>
      </w:tr>
      <w:tr w:rsidR="00AB61FE" w14:paraId="384D35AC" w14:textId="77777777" w:rsidTr="00250656">
        <w:trPr>
          <w:trHeight w:val="210"/>
          <w:jc w:val="center"/>
        </w:trPr>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169CE771" w14:textId="77777777" w:rsidR="00AB61FE" w:rsidRDefault="00AB61FE" w:rsidP="00250656">
            <w:pPr>
              <w:ind w:firstLine="0"/>
              <w:jc w:val="left"/>
              <w:rPr>
                <w:sz w:val="24"/>
                <w:szCs w:val="24"/>
                <w:lang w:val="en-ID" w:eastAsia="ja-JP"/>
              </w:rPr>
            </w:pPr>
            <w:r>
              <w:rPr>
                <w:color w:val="000000"/>
                <w:sz w:val="16"/>
                <w:szCs w:val="16"/>
                <w:lang w:val="en-ID" w:eastAsia="ja-JP"/>
              </w:rPr>
              <w:t>Red</w:t>
            </w:r>
          </w:p>
        </w:tc>
        <w:tc>
          <w:tcPr>
            <w:tcW w:w="683" w:type="dxa"/>
            <w:tcBorders>
              <w:top w:val="single" w:sz="4" w:space="0" w:color="000000"/>
              <w:left w:val="single" w:sz="4" w:space="0" w:color="000000"/>
              <w:bottom w:val="single" w:sz="4" w:space="0" w:color="000000"/>
              <w:right w:val="single" w:sz="4" w:space="0" w:color="000000"/>
            </w:tcBorders>
            <w:vAlign w:val="center"/>
          </w:tcPr>
          <w:p w14:paraId="1C679EB0" w14:textId="77777777" w:rsidR="00AB61FE" w:rsidRDefault="00AB61FE" w:rsidP="00250656">
            <w:pPr>
              <w:ind w:firstLine="0"/>
              <w:jc w:val="left"/>
              <w:rPr>
                <w:sz w:val="24"/>
                <w:szCs w:val="24"/>
                <w:lang w:val="en-ID" w:eastAsia="ja-JP"/>
              </w:rPr>
            </w:pPr>
            <w:r>
              <w:rPr>
                <w:color w:val="000000"/>
                <w:sz w:val="16"/>
                <w:szCs w:val="16"/>
                <w:lang w:val="en-ID" w:eastAsia="ja-JP"/>
              </w:rPr>
              <w:t>30</w:t>
            </w:r>
          </w:p>
        </w:tc>
        <w:tc>
          <w:tcPr>
            <w:tcW w:w="1107" w:type="dxa"/>
            <w:tcBorders>
              <w:top w:val="single" w:sz="4" w:space="0" w:color="000000"/>
              <w:left w:val="single" w:sz="4" w:space="0" w:color="000000"/>
              <w:bottom w:val="single" w:sz="4" w:space="0" w:color="000000"/>
              <w:right w:val="single" w:sz="4" w:space="0" w:color="000000"/>
            </w:tcBorders>
            <w:vAlign w:val="center"/>
          </w:tcPr>
          <w:p w14:paraId="4E3F8819" w14:textId="77777777" w:rsidR="00AB61FE" w:rsidRDefault="00AB61FE" w:rsidP="00250656">
            <w:pPr>
              <w:ind w:firstLine="0"/>
              <w:jc w:val="left"/>
              <w:rPr>
                <w:sz w:val="24"/>
                <w:szCs w:val="24"/>
                <w:lang w:val="en-ID" w:eastAsia="ja-JP"/>
              </w:rPr>
            </w:pPr>
            <w:r>
              <w:rPr>
                <w:color w:val="000000"/>
                <w:sz w:val="16"/>
                <w:szCs w:val="16"/>
                <w:lang w:val="en-ID" w:eastAsia="ja-JP"/>
              </w:rPr>
              <w:t>31.08</w:t>
            </w:r>
          </w:p>
        </w:tc>
        <w:tc>
          <w:tcPr>
            <w:tcW w:w="1327" w:type="dxa"/>
            <w:tcBorders>
              <w:top w:val="single" w:sz="4" w:space="0" w:color="000000"/>
              <w:left w:val="single" w:sz="4" w:space="0" w:color="000000"/>
              <w:bottom w:val="single" w:sz="4" w:space="0" w:color="000000"/>
              <w:right w:val="single" w:sz="4" w:space="0" w:color="000000"/>
            </w:tcBorders>
            <w:vAlign w:val="center"/>
          </w:tcPr>
          <w:p w14:paraId="76550FD4" w14:textId="77777777" w:rsidR="00AB61FE" w:rsidRDefault="00AB61FE" w:rsidP="00250656">
            <w:pPr>
              <w:ind w:firstLine="0"/>
              <w:jc w:val="left"/>
              <w:rPr>
                <w:sz w:val="24"/>
                <w:szCs w:val="24"/>
                <w:lang w:val="en-ID" w:eastAsia="ja-JP"/>
              </w:rPr>
            </w:pPr>
            <w:r>
              <w:rPr>
                <w:color w:val="000000"/>
                <w:sz w:val="16"/>
                <w:szCs w:val="16"/>
                <w:lang w:val="en-ID" w:eastAsia="ja-JP"/>
              </w:rPr>
              <w:t>32.71</w:t>
            </w:r>
          </w:p>
        </w:tc>
      </w:tr>
      <w:tr w:rsidR="00AB61FE" w14:paraId="0940F546" w14:textId="77777777" w:rsidTr="00250656">
        <w:trPr>
          <w:trHeight w:val="21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10D27E"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7167D86E" w14:textId="77777777" w:rsidR="00AB61FE" w:rsidRDefault="00AB61FE" w:rsidP="00250656">
            <w:pPr>
              <w:ind w:firstLine="0"/>
              <w:jc w:val="left"/>
              <w:rPr>
                <w:sz w:val="24"/>
                <w:szCs w:val="24"/>
                <w:lang w:val="en-ID" w:eastAsia="ja-JP"/>
              </w:rPr>
            </w:pPr>
            <w:r>
              <w:rPr>
                <w:color w:val="000000"/>
                <w:sz w:val="16"/>
                <w:szCs w:val="16"/>
                <w:lang w:val="en-ID" w:eastAsia="ja-JP"/>
              </w:rPr>
              <w:t>70</w:t>
            </w:r>
          </w:p>
        </w:tc>
        <w:tc>
          <w:tcPr>
            <w:tcW w:w="1107" w:type="dxa"/>
            <w:tcBorders>
              <w:top w:val="single" w:sz="4" w:space="0" w:color="000000"/>
              <w:left w:val="single" w:sz="4" w:space="0" w:color="000000"/>
              <w:bottom w:val="single" w:sz="4" w:space="0" w:color="000000"/>
              <w:right w:val="single" w:sz="4" w:space="0" w:color="000000"/>
            </w:tcBorders>
            <w:vAlign w:val="center"/>
          </w:tcPr>
          <w:p w14:paraId="37E6D7B1" w14:textId="77777777" w:rsidR="00AB61FE" w:rsidRDefault="00AB61FE" w:rsidP="00250656">
            <w:pPr>
              <w:ind w:firstLine="0"/>
              <w:jc w:val="left"/>
              <w:rPr>
                <w:sz w:val="24"/>
                <w:szCs w:val="24"/>
                <w:lang w:val="en-ID" w:eastAsia="ja-JP"/>
              </w:rPr>
            </w:pPr>
            <w:r>
              <w:rPr>
                <w:color w:val="000000"/>
                <w:sz w:val="16"/>
                <w:szCs w:val="16"/>
                <w:lang w:val="en-ID" w:eastAsia="ja-JP"/>
              </w:rPr>
              <w:t>70.15</w:t>
            </w:r>
          </w:p>
        </w:tc>
        <w:tc>
          <w:tcPr>
            <w:tcW w:w="1327" w:type="dxa"/>
            <w:tcBorders>
              <w:top w:val="single" w:sz="4" w:space="0" w:color="000000"/>
              <w:left w:val="single" w:sz="4" w:space="0" w:color="000000"/>
              <w:bottom w:val="single" w:sz="4" w:space="0" w:color="000000"/>
              <w:right w:val="single" w:sz="4" w:space="0" w:color="000000"/>
            </w:tcBorders>
            <w:vAlign w:val="center"/>
          </w:tcPr>
          <w:p w14:paraId="2DED7226" w14:textId="77777777" w:rsidR="00AB61FE" w:rsidRDefault="00AB61FE" w:rsidP="00250656">
            <w:pPr>
              <w:ind w:firstLine="0"/>
              <w:jc w:val="left"/>
              <w:rPr>
                <w:sz w:val="24"/>
                <w:szCs w:val="24"/>
                <w:lang w:val="en-ID" w:eastAsia="ja-JP"/>
              </w:rPr>
            </w:pPr>
            <w:r>
              <w:rPr>
                <w:color w:val="000000"/>
                <w:sz w:val="16"/>
                <w:szCs w:val="16"/>
                <w:lang w:val="en-ID" w:eastAsia="ja-JP"/>
              </w:rPr>
              <w:t>71.26</w:t>
            </w:r>
          </w:p>
        </w:tc>
      </w:tr>
      <w:tr w:rsidR="00AB61FE" w14:paraId="140B3C3B" w14:textId="77777777" w:rsidTr="00250656">
        <w:trPr>
          <w:trHeight w:val="195"/>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0E2D43"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66EB2AF8" w14:textId="77777777" w:rsidR="00AB61FE" w:rsidRDefault="00AB61FE" w:rsidP="00250656">
            <w:pPr>
              <w:ind w:firstLine="0"/>
              <w:jc w:val="left"/>
              <w:rPr>
                <w:sz w:val="24"/>
                <w:szCs w:val="24"/>
                <w:lang w:val="en-ID" w:eastAsia="ja-JP"/>
              </w:rPr>
            </w:pPr>
            <w:r>
              <w:rPr>
                <w:color w:val="000000"/>
                <w:sz w:val="16"/>
                <w:szCs w:val="16"/>
                <w:lang w:val="en-ID" w:eastAsia="ja-JP"/>
              </w:rPr>
              <w:t>80</w:t>
            </w:r>
          </w:p>
        </w:tc>
        <w:tc>
          <w:tcPr>
            <w:tcW w:w="1107" w:type="dxa"/>
            <w:tcBorders>
              <w:top w:val="single" w:sz="4" w:space="0" w:color="000000"/>
              <w:left w:val="single" w:sz="4" w:space="0" w:color="000000"/>
              <w:bottom w:val="single" w:sz="4" w:space="0" w:color="000000"/>
              <w:right w:val="single" w:sz="4" w:space="0" w:color="000000"/>
            </w:tcBorders>
            <w:vAlign w:val="center"/>
          </w:tcPr>
          <w:p w14:paraId="66DC5ECF" w14:textId="77777777" w:rsidR="00AB61FE" w:rsidRDefault="00AB61FE" w:rsidP="00250656">
            <w:pPr>
              <w:ind w:firstLine="0"/>
              <w:jc w:val="left"/>
              <w:rPr>
                <w:sz w:val="24"/>
                <w:szCs w:val="24"/>
                <w:lang w:val="en-ID" w:eastAsia="ja-JP"/>
              </w:rPr>
            </w:pPr>
            <w:r>
              <w:rPr>
                <w:color w:val="000000"/>
                <w:sz w:val="16"/>
                <w:szCs w:val="16"/>
                <w:lang w:val="en-ID" w:eastAsia="ja-JP"/>
              </w:rPr>
              <w:t>80.04</w:t>
            </w:r>
          </w:p>
        </w:tc>
        <w:tc>
          <w:tcPr>
            <w:tcW w:w="1327" w:type="dxa"/>
            <w:tcBorders>
              <w:top w:val="single" w:sz="4" w:space="0" w:color="000000"/>
              <w:left w:val="single" w:sz="4" w:space="0" w:color="000000"/>
              <w:bottom w:val="single" w:sz="4" w:space="0" w:color="000000"/>
              <w:right w:val="single" w:sz="4" w:space="0" w:color="000000"/>
            </w:tcBorders>
            <w:vAlign w:val="center"/>
          </w:tcPr>
          <w:p w14:paraId="2F2E0890" w14:textId="77777777" w:rsidR="00AB61FE" w:rsidRDefault="00AB61FE" w:rsidP="00250656">
            <w:pPr>
              <w:ind w:firstLine="0"/>
              <w:jc w:val="left"/>
              <w:rPr>
                <w:sz w:val="24"/>
                <w:szCs w:val="24"/>
                <w:lang w:val="en-ID" w:eastAsia="ja-JP"/>
              </w:rPr>
            </w:pPr>
            <w:r>
              <w:rPr>
                <w:color w:val="000000"/>
                <w:sz w:val="16"/>
                <w:szCs w:val="16"/>
                <w:lang w:val="en-ID" w:eastAsia="ja-JP"/>
              </w:rPr>
              <w:t>82.27</w:t>
            </w:r>
          </w:p>
        </w:tc>
      </w:tr>
      <w:tr w:rsidR="00AB61FE" w14:paraId="5A70AD4C"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E125497"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7043DE53" w14:textId="77777777" w:rsidR="00AB61FE" w:rsidRDefault="00AB61FE" w:rsidP="00250656">
            <w:pPr>
              <w:ind w:firstLine="0"/>
              <w:jc w:val="left"/>
              <w:rPr>
                <w:sz w:val="24"/>
                <w:szCs w:val="24"/>
                <w:lang w:val="en-ID" w:eastAsia="ja-JP"/>
              </w:rPr>
            </w:pPr>
            <w:r>
              <w:rPr>
                <w:color w:val="000000"/>
                <w:sz w:val="16"/>
                <w:szCs w:val="16"/>
                <w:lang w:val="en-ID" w:eastAsia="ja-JP"/>
              </w:rPr>
              <w:t>90</w:t>
            </w:r>
          </w:p>
        </w:tc>
        <w:tc>
          <w:tcPr>
            <w:tcW w:w="1107" w:type="dxa"/>
            <w:tcBorders>
              <w:top w:val="single" w:sz="4" w:space="0" w:color="000000"/>
              <w:left w:val="single" w:sz="4" w:space="0" w:color="000000"/>
              <w:bottom w:val="single" w:sz="4" w:space="0" w:color="000000"/>
              <w:right w:val="single" w:sz="4" w:space="0" w:color="000000"/>
            </w:tcBorders>
            <w:vAlign w:val="center"/>
          </w:tcPr>
          <w:p w14:paraId="76B4FC34" w14:textId="77777777" w:rsidR="00AB61FE" w:rsidRDefault="00AB61FE" w:rsidP="00250656">
            <w:pPr>
              <w:ind w:firstLine="0"/>
              <w:jc w:val="left"/>
              <w:rPr>
                <w:sz w:val="24"/>
                <w:szCs w:val="24"/>
                <w:lang w:val="en-ID" w:eastAsia="ja-JP"/>
              </w:rPr>
            </w:pPr>
            <w:r>
              <w:rPr>
                <w:color w:val="000000"/>
                <w:sz w:val="16"/>
                <w:szCs w:val="16"/>
                <w:lang w:val="en-ID" w:eastAsia="ja-JP"/>
              </w:rPr>
              <w:t>90.30</w:t>
            </w:r>
          </w:p>
        </w:tc>
        <w:tc>
          <w:tcPr>
            <w:tcW w:w="1327" w:type="dxa"/>
            <w:tcBorders>
              <w:top w:val="single" w:sz="4" w:space="0" w:color="000000"/>
              <w:left w:val="single" w:sz="4" w:space="0" w:color="000000"/>
              <w:bottom w:val="single" w:sz="4" w:space="0" w:color="000000"/>
              <w:right w:val="single" w:sz="4" w:space="0" w:color="000000"/>
            </w:tcBorders>
            <w:vAlign w:val="center"/>
          </w:tcPr>
          <w:p w14:paraId="183C4005" w14:textId="77777777" w:rsidR="00AB61FE" w:rsidRDefault="00AB61FE" w:rsidP="00250656">
            <w:pPr>
              <w:ind w:firstLine="0"/>
              <w:jc w:val="left"/>
              <w:rPr>
                <w:sz w:val="24"/>
                <w:szCs w:val="24"/>
                <w:lang w:val="en-ID" w:eastAsia="ja-JP"/>
              </w:rPr>
            </w:pPr>
            <w:r>
              <w:rPr>
                <w:color w:val="000000"/>
                <w:sz w:val="16"/>
                <w:szCs w:val="16"/>
                <w:lang w:val="en-ID" w:eastAsia="ja-JP"/>
              </w:rPr>
              <w:t>92.67</w:t>
            </w:r>
          </w:p>
        </w:tc>
      </w:tr>
      <w:tr w:rsidR="00AB61FE" w14:paraId="23621CED" w14:textId="77777777" w:rsidTr="00250656">
        <w:trPr>
          <w:trHeight w:val="240"/>
          <w:jc w:val="center"/>
        </w:trPr>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2FB52044" w14:textId="77777777" w:rsidR="00AB61FE" w:rsidRDefault="00AB61FE" w:rsidP="00250656">
            <w:pPr>
              <w:ind w:firstLine="0"/>
              <w:jc w:val="left"/>
              <w:rPr>
                <w:sz w:val="24"/>
                <w:szCs w:val="24"/>
                <w:lang w:val="en-ID" w:eastAsia="ja-JP"/>
              </w:rPr>
            </w:pPr>
            <w:r>
              <w:rPr>
                <w:color w:val="000000"/>
                <w:sz w:val="16"/>
                <w:szCs w:val="16"/>
                <w:lang w:val="en-ID" w:eastAsia="ja-JP"/>
              </w:rPr>
              <w:t>Yellow</w:t>
            </w:r>
          </w:p>
        </w:tc>
        <w:tc>
          <w:tcPr>
            <w:tcW w:w="683" w:type="dxa"/>
            <w:tcBorders>
              <w:top w:val="single" w:sz="4" w:space="0" w:color="000000"/>
              <w:left w:val="single" w:sz="4" w:space="0" w:color="000000"/>
              <w:bottom w:val="single" w:sz="4" w:space="0" w:color="000000"/>
              <w:right w:val="single" w:sz="4" w:space="0" w:color="000000"/>
            </w:tcBorders>
            <w:vAlign w:val="center"/>
          </w:tcPr>
          <w:p w14:paraId="52A39A82" w14:textId="77777777" w:rsidR="00AB61FE" w:rsidRDefault="00AB61FE" w:rsidP="00250656">
            <w:pPr>
              <w:ind w:firstLine="0"/>
              <w:jc w:val="left"/>
              <w:rPr>
                <w:sz w:val="24"/>
                <w:szCs w:val="24"/>
                <w:lang w:val="en-ID" w:eastAsia="ja-JP"/>
              </w:rPr>
            </w:pPr>
            <w:r>
              <w:rPr>
                <w:color w:val="000000"/>
                <w:sz w:val="16"/>
                <w:szCs w:val="16"/>
                <w:lang w:val="en-ID" w:eastAsia="ja-JP"/>
              </w:rPr>
              <w:t>30</w:t>
            </w:r>
          </w:p>
        </w:tc>
        <w:tc>
          <w:tcPr>
            <w:tcW w:w="1107" w:type="dxa"/>
            <w:tcBorders>
              <w:top w:val="single" w:sz="4" w:space="0" w:color="000000"/>
              <w:left w:val="single" w:sz="4" w:space="0" w:color="000000"/>
              <w:bottom w:val="single" w:sz="4" w:space="0" w:color="000000"/>
              <w:right w:val="single" w:sz="4" w:space="0" w:color="000000"/>
            </w:tcBorders>
            <w:vAlign w:val="center"/>
          </w:tcPr>
          <w:p w14:paraId="696B43D7" w14:textId="77777777" w:rsidR="00AB61FE" w:rsidRDefault="00AB61FE" w:rsidP="00250656">
            <w:pPr>
              <w:ind w:firstLine="0"/>
              <w:jc w:val="left"/>
              <w:rPr>
                <w:sz w:val="24"/>
                <w:szCs w:val="24"/>
                <w:lang w:val="en-ID" w:eastAsia="ja-JP"/>
              </w:rPr>
            </w:pPr>
            <w:r>
              <w:rPr>
                <w:color w:val="000000"/>
                <w:sz w:val="16"/>
                <w:szCs w:val="16"/>
                <w:lang w:val="en-ID" w:eastAsia="ja-JP"/>
              </w:rPr>
              <w:t>31.23</w:t>
            </w:r>
          </w:p>
        </w:tc>
        <w:tc>
          <w:tcPr>
            <w:tcW w:w="1327" w:type="dxa"/>
            <w:tcBorders>
              <w:top w:val="single" w:sz="4" w:space="0" w:color="000000"/>
              <w:left w:val="single" w:sz="4" w:space="0" w:color="000000"/>
              <w:bottom w:val="single" w:sz="4" w:space="0" w:color="000000"/>
              <w:right w:val="single" w:sz="4" w:space="0" w:color="000000"/>
            </w:tcBorders>
            <w:vAlign w:val="center"/>
          </w:tcPr>
          <w:p w14:paraId="53168E68" w14:textId="77777777" w:rsidR="00AB61FE" w:rsidRDefault="00AB61FE" w:rsidP="00250656">
            <w:pPr>
              <w:ind w:firstLine="0"/>
              <w:jc w:val="left"/>
              <w:rPr>
                <w:sz w:val="24"/>
                <w:szCs w:val="24"/>
                <w:lang w:val="en-ID" w:eastAsia="ja-JP"/>
              </w:rPr>
            </w:pPr>
            <w:r>
              <w:rPr>
                <w:color w:val="000000"/>
                <w:sz w:val="16"/>
                <w:szCs w:val="16"/>
                <w:lang w:val="en-ID" w:eastAsia="ja-JP"/>
              </w:rPr>
              <w:t>32.51</w:t>
            </w:r>
          </w:p>
        </w:tc>
      </w:tr>
      <w:tr w:rsidR="00AB61FE" w14:paraId="4089351B"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FC6E38"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401CFDB6" w14:textId="77777777" w:rsidR="00AB61FE" w:rsidRDefault="00AB61FE" w:rsidP="00250656">
            <w:pPr>
              <w:ind w:firstLine="0"/>
              <w:jc w:val="left"/>
              <w:rPr>
                <w:sz w:val="24"/>
                <w:szCs w:val="24"/>
                <w:lang w:val="en-ID" w:eastAsia="ja-JP"/>
              </w:rPr>
            </w:pPr>
            <w:r>
              <w:rPr>
                <w:color w:val="000000"/>
                <w:sz w:val="16"/>
                <w:szCs w:val="16"/>
                <w:lang w:val="en-ID" w:eastAsia="ja-JP"/>
              </w:rPr>
              <w:t>70</w:t>
            </w:r>
          </w:p>
        </w:tc>
        <w:tc>
          <w:tcPr>
            <w:tcW w:w="1107" w:type="dxa"/>
            <w:tcBorders>
              <w:top w:val="single" w:sz="4" w:space="0" w:color="000000"/>
              <w:left w:val="single" w:sz="4" w:space="0" w:color="000000"/>
              <w:bottom w:val="single" w:sz="4" w:space="0" w:color="000000"/>
              <w:right w:val="single" w:sz="4" w:space="0" w:color="000000"/>
            </w:tcBorders>
            <w:vAlign w:val="center"/>
          </w:tcPr>
          <w:p w14:paraId="333DFEC4" w14:textId="77777777" w:rsidR="00AB61FE" w:rsidRDefault="00AB61FE" w:rsidP="00250656">
            <w:pPr>
              <w:ind w:firstLine="0"/>
              <w:jc w:val="left"/>
              <w:rPr>
                <w:sz w:val="24"/>
                <w:szCs w:val="24"/>
                <w:lang w:val="en-ID" w:eastAsia="ja-JP"/>
              </w:rPr>
            </w:pPr>
            <w:r>
              <w:rPr>
                <w:color w:val="000000"/>
                <w:sz w:val="16"/>
                <w:szCs w:val="16"/>
                <w:lang w:val="en-ID" w:eastAsia="ja-JP"/>
              </w:rPr>
              <w:t>72.04</w:t>
            </w:r>
          </w:p>
        </w:tc>
        <w:tc>
          <w:tcPr>
            <w:tcW w:w="1327" w:type="dxa"/>
            <w:tcBorders>
              <w:top w:val="single" w:sz="4" w:space="0" w:color="000000"/>
              <w:left w:val="single" w:sz="4" w:space="0" w:color="000000"/>
              <w:bottom w:val="single" w:sz="4" w:space="0" w:color="000000"/>
              <w:right w:val="single" w:sz="4" w:space="0" w:color="000000"/>
            </w:tcBorders>
            <w:vAlign w:val="center"/>
          </w:tcPr>
          <w:p w14:paraId="6C638243" w14:textId="77777777" w:rsidR="00AB61FE" w:rsidRDefault="00AB61FE" w:rsidP="00250656">
            <w:pPr>
              <w:ind w:firstLine="0"/>
              <w:jc w:val="left"/>
              <w:rPr>
                <w:sz w:val="24"/>
                <w:szCs w:val="24"/>
                <w:lang w:val="en-ID" w:eastAsia="ja-JP"/>
              </w:rPr>
            </w:pPr>
            <w:r>
              <w:rPr>
                <w:color w:val="000000"/>
                <w:sz w:val="16"/>
                <w:szCs w:val="16"/>
                <w:lang w:val="en-ID" w:eastAsia="ja-JP"/>
              </w:rPr>
              <w:t>73.35</w:t>
            </w:r>
          </w:p>
        </w:tc>
      </w:tr>
      <w:tr w:rsidR="00AB61FE" w14:paraId="109A5E34"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AC734E2"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7744A767" w14:textId="77777777" w:rsidR="00AB61FE" w:rsidRDefault="00AB61FE" w:rsidP="00250656">
            <w:pPr>
              <w:ind w:firstLine="0"/>
              <w:jc w:val="left"/>
              <w:rPr>
                <w:sz w:val="24"/>
                <w:szCs w:val="24"/>
                <w:lang w:val="en-ID" w:eastAsia="ja-JP"/>
              </w:rPr>
            </w:pPr>
            <w:r>
              <w:rPr>
                <w:color w:val="000000"/>
                <w:sz w:val="16"/>
                <w:szCs w:val="16"/>
                <w:lang w:val="en-ID" w:eastAsia="ja-JP"/>
              </w:rPr>
              <w:t>80</w:t>
            </w:r>
          </w:p>
        </w:tc>
        <w:tc>
          <w:tcPr>
            <w:tcW w:w="1107" w:type="dxa"/>
            <w:tcBorders>
              <w:top w:val="single" w:sz="4" w:space="0" w:color="000000"/>
              <w:left w:val="single" w:sz="4" w:space="0" w:color="000000"/>
              <w:bottom w:val="single" w:sz="4" w:space="0" w:color="000000"/>
              <w:right w:val="single" w:sz="4" w:space="0" w:color="000000"/>
            </w:tcBorders>
            <w:vAlign w:val="center"/>
          </w:tcPr>
          <w:p w14:paraId="1FD70A70" w14:textId="77777777" w:rsidR="00AB61FE" w:rsidRDefault="00AB61FE" w:rsidP="00250656">
            <w:pPr>
              <w:ind w:firstLine="0"/>
              <w:jc w:val="left"/>
              <w:rPr>
                <w:sz w:val="24"/>
                <w:szCs w:val="24"/>
                <w:lang w:val="en-ID" w:eastAsia="ja-JP"/>
              </w:rPr>
            </w:pPr>
            <w:r>
              <w:rPr>
                <w:color w:val="000000"/>
                <w:sz w:val="16"/>
                <w:szCs w:val="16"/>
                <w:lang w:val="en-ID" w:eastAsia="ja-JP"/>
              </w:rPr>
              <w:t>80.89</w:t>
            </w:r>
          </w:p>
        </w:tc>
        <w:tc>
          <w:tcPr>
            <w:tcW w:w="1327" w:type="dxa"/>
            <w:tcBorders>
              <w:top w:val="single" w:sz="4" w:space="0" w:color="000000"/>
              <w:left w:val="single" w:sz="4" w:space="0" w:color="000000"/>
              <w:bottom w:val="single" w:sz="4" w:space="0" w:color="000000"/>
              <w:right w:val="single" w:sz="4" w:space="0" w:color="000000"/>
            </w:tcBorders>
            <w:vAlign w:val="center"/>
          </w:tcPr>
          <w:p w14:paraId="17B83372" w14:textId="77777777" w:rsidR="00AB61FE" w:rsidRDefault="00AB61FE" w:rsidP="00250656">
            <w:pPr>
              <w:ind w:firstLine="0"/>
              <w:jc w:val="left"/>
              <w:rPr>
                <w:sz w:val="24"/>
                <w:szCs w:val="24"/>
                <w:lang w:val="en-ID" w:eastAsia="ja-JP"/>
              </w:rPr>
            </w:pPr>
            <w:r>
              <w:rPr>
                <w:color w:val="000000"/>
                <w:sz w:val="16"/>
                <w:szCs w:val="16"/>
                <w:lang w:val="en-ID" w:eastAsia="ja-JP"/>
              </w:rPr>
              <w:t>82.91</w:t>
            </w:r>
          </w:p>
        </w:tc>
      </w:tr>
      <w:tr w:rsidR="00AB61FE" w14:paraId="44274637"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1CB6CD"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219D9C02" w14:textId="77777777" w:rsidR="00AB61FE" w:rsidRDefault="00AB61FE" w:rsidP="00250656">
            <w:pPr>
              <w:ind w:firstLine="0"/>
              <w:jc w:val="left"/>
              <w:rPr>
                <w:sz w:val="24"/>
                <w:szCs w:val="24"/>
                <w:lang w:val="en-ID" w:eastAsia="ja-JP"/>
              </w:rPr>
            </w:pPr>
            <w:r>
              <w:rPr>
                <w:color w:val="000000"/>
                <w:sz w:val="16"/>
                <w:szCs w:val="16"/>
                <w:lang w:val="en-ID" w:eastAsia="ja-JP"/>
              </w:rPr>
              <w:t>90</w:t>
            </w:r>
          </w:p>
        </w:tc>
        <w:tc>
          <w:tcPr>
            <w:tcW w:w="1107" w:type="dxa"/>
            <w:tcBorders>
              <w:top w:val="single" w:sz="4" w:space="0" w:color="000000"/>
              <w:left w:val="single" w:sz="4" w:space="0" w:color="000000"/>
              <w:bottom w:val="single" w:sz="4" w:space="0" w:color="000000"/>
              <w:right w:val="single" w:sz="4" w:space="0" w:color="000000"/>
            </w:tcBorders>
            <w:vAlign w:val="center"/>
          </w:tcPr>
          <w:p w14:paraId="3676C1C8" w14:textId="77777777" w:rsidR="00AB61FE" w:rsidRDefault="00AB61FE" w:rsidP="00250656">
            <w:pPr>
              <w:ind w:firstLine="0"/>
              <w:jc w:val="left"/>
              <w:rPr>
                <w:sz w:val="24"/>
                <w:szCs w:val="24"/>
                <w:lang w:val="en-ID" w:eastAsia="ja-JP"/>
              </w:rPr>
            </w:pPr>
            <w:r>
              <w:rPr>
                <w:color w:val="000000"/>
                <w:sz w:val="16"/>
                <w:szCs w:val="16"/>
                <w:lang w:val="en-ID" w:eastAsia="ja-JP"/>
              </w:rPr>
              <w:t>91.72</w:t>
            </w:r>
          </w:p>
        </w:tc>
        <w:tc>
          <w:tcPr>
            <w:tcW w:w="1327" w:type="dxa"/>
            <w:tcBorders>
              <w:top w:val="single" w:sz="4" w:space="0" w:color="000000"/>
              <w:left w:val="single" w:sz="4" w:space="0" w:color="000000"/>
              <w:bottom w:val="single" w:sz="4" w:space="0" w:color="000000"/>
              <w:right w:val="single" w:sz="4" w:space="0" w:color="000000"/>
            </w:tcBorders>
            <w:vAlign w:val="center"/>
          </w:tcPr>
          <w:p w14:paraId="04F4F352" w14:textId="77777777" w:rsidR="00AB61FE" w:rsidRDefault="00AB61FE" w:rsidP="00250656">
            <w:pPr>
              <w:ind w:firstLine="0"/>
              <w:jc w:val="left"/>
              <w:rPr>
                <w:sz w:val="24"/>
                <w:szCs w:val="24"/>
                <w:lang w:val="en-ID" w:eastAsia="ja-JP"/>
              </w:rPr>
            </w:pPr>
            <w:r>
              <w:rPr>
                <w:color w:val="000000"/>
                <w:sz w:val="16"/>
                <w:szCs w:val="16"/>
                <w:lang w:val="en-ID" w:eastAsia="ja-JP"/>
              </w:rPr>
              <w:t>93.07</w:t>
            </w:r>
          </w:p>
        </w:tc>
      </w:tr>
      <w:tr w:rsidR="00AB61FE" w14:paraId="5072E386" w14:textId="77777777" w:rsidTr="00250656">
        <w:trPr>
          <w:trHeight w:val="240"/>
          <w:jc w:val="center"/>
        </w:trPr>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31BD7304" w14:textId="77777777" w:rsidR="00AB61FE" w:rsidRDefault="00AB61FE" w:rsidP="00250656">
            <w:pPr>
              <w:ind w:firstLine="0"/>
              <w:jc w:val="left"/>
              <w:rPr>
                <w:sz w:val="24"/>
                <w:szCs w:val="24"/>
                <w:lang w:val="en-ID" w:eastAsia="ja-JP"/>
              </w:rPr>
            </w:pPr>
            <w:r>
              <w:rPr>
                <w:color w:val="000000"/>
                <w:sz w:val="16"/>
                <w:szCs w:val="16"/>
                <w:lang w:val="en-ID" w:eastAsia="ja-JP"/>
              </w:rPr>
              <w:t>Blue</w:t>
            </w:r>
          </w:p>
        </w:tc>
        <w:tc>
          <w:tcPr>
            <w:tcW w:w="683" w:type="dxa"/>
            <w:tcBorders>
              <w:top w:val="single" w:sz="4" w:space="0" w:color="000000"/>
              <w:left w:val="single" w:sz="4" w:space="0" w:color="000000"/>
              <w:bottom w:val="single" w:sz="4" w:space="0" w:color="000000"/>
              <w:right w:val="single" w:sz="4" w:space="0" w:color="000000"/>
            </w:tcBorders>
            <w:vAlign w:val="center"/>
          </w:tcPr>
          <w:p w14:paraId="4BF21B6C" w14:textId="77777777" w:rsidR="00AB61FE" w:rsidRDefault="00AB61FE" w:rsidP="00250656">
            <w:pPr>
              <w:ind w:firstLine="0"/>
              <w:jc w:val="left"/>
              <w:rPr>
                <w:sz w:val="24"/>
                <w:szCs w:val="24"/>
                <w:lang w:val="en-ID" w:eastAsia="ja-JP"/>
              </w:rPr>
            </w:pPr>
            <w:r>
              <w:rPr>
                <w:color w:val="000000"/>
                <w:sz w:val="16"/>
                <w:szCs w:val="16"/>
                <w:lang w:val="en-ID" w:eastAsia="ja-JP"/>
              </w:rPr>
              <w:t>30</w:t>
            </w:r>
          </w:p>
        </w:tc>
        <w:tc>
          <w:tcPr>
            <w:tcW w:w="1107" w:type="dxa"/>
            <w:tcBorders>
              <w:top w:val="single" w:sz="4" w:space="0" w:color="000000"/>
              <w:left w:val="single" w:sz="4" w:space="0" w:color="000000"/>
              <w:bottom w:val="single" w:sz="4" w:space="0" w:color="000000"/>
              <w:right w:val="single" w:sz="4" w:space="0" w:color="000000"/>
            </w:tcBorders>
            <w:vAlign w:val="center"/>
          </w:tcPr>
          <w:p w14:paraId="2212D634" w14:textId="77777777" w:rsidR="00AB61FE" w:rsidRDefault="00AB61FE" w:rsidP="00250656">
            <w:pPr>
              <w:ind w:firstLine="0"/>
              <w:jc w:val="left"/>
              <w:rPr>
                <w:sz w:val="24"/>
                <w:szCs w:val="24"/>
                <w:lang w:val="en-ID" w:eastAsia="ja-JP"/>
              </w:rPr>
            </w:pPr>
            <w:r>
              <w:rPr>
                <w:color w:val="000000"/>
                <w:sz w:val="16"/>
                <w:szCs w:val="16"/>
                <w:lang w:val="en-ID" w:eastAsia="ja-JP"/>
              </w:rPr>
              <w:t>32.42</w:t>
            </w:r>
          </w:p>
        </w:tc>
        <w:tc>
          <w:tcPr>
            <w:tcW w:w="1327" w:type="dxa"/>
            <w:tcBorders>
              <w:top w:val="single" w:sz="4" w:space="0" w:color="000000"/>
              <w:left w:val="single" w:sz="4" w:space="0" w:color="000000"/>
              <w:bottom w:val="single" w:sz="4" w:space="0" w:color="000000"/>
              <w:right w:val="single" w:sz="4" w:space="0" w:color="000000"/>
            </w:tcBorders>
            <w:vAlign w:val="center"/>
          </w:tcPr>
          <w:p w14:paraId="47B045CF" w14:textId="77777777" w:rsidR="00AB61FE" w:rsidRDefault="00AB61FE" w:rsidP="00250656">
            <w:pPr>
              <w:ind w:firstLine="0"/>
              <w:jc w:val="left"/>
              <w:rPr>
                <w:sz w:val="24"/>
                <w:szCs w:val="24"/>
                <w:lang w:val="en-ID" w:eastAsia="ja-JP"/>
              </w:rPr>
            </w:pPr>
            <w:r>
              <w:rPr>
                <w:color w:val="000000"/>
                <w:sz w:val="16"/>
                <w:szCs w:val="16"/>
                <w:lang w:val="en-ID" w:eastAsia="ja-JP"/>
              </w:rPr>
              <w:t>34.61</w:t>
            </w:r>
          </w:p>
        </w:tc>
      </w:tr>
      <w:tr w:rsidR="00AB61FE" w14:paraId="3621E0E3"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8F76E6"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34D152FC" w14:textId="77777777" w:rsidR="00AB61FE" w:rsidRDefault="00AB61FE" w:rsidP="00250656">
            <w:pPr>
              <w:ind w:firstLine="0"/>
              <w:jc w:val="left"/>
              <w:rPr>
                <w:sz w:val="24"/>
                <w:szCs w:val="24"/>
                <w:lang w:val="en-ID" w:eastAsia="ja-JP"/>
              </w:rPr>
            </w:pPr>
            <w:r>
              <w:rPr>
                <w:color w:val="000000"/>
                <w:sz w:val="16"/>
                <w:szCs w:val="16"/>
                <w:lang w:val="en-ID" w:eastAsia="ja-JP"/>
              </w:rPr>
              <w:t>70</w:t>
            </w:r>
          </w:p>
        </w:tc>
        <w:tc>
          <w:tcPr>
            <w:tcW w:w="1107" w:type="dxa"/>
            <w:tcBorders>
              <w:top w:val="single" w:sz="4" w:space="0" w:color="000000"/>
              <w:left w:val="single" w:sz="4" w:space="0" w:color="000000"/>
              <w:bottom w:val="single" w:sz="4" w:space="0" w:color="000000"/>
              <w:right w:val="single" w:sz="4" w:space="0" w:color="000000"/>
            </w:tcBorders>
            <w:vAlign w:val="center"/>
          </w:tcPr>
          <w:p w14:paraId="5D6969EF" w14:textId="77777777" w:rsidR="00AB61FE" w:rsidRDefault="00AB61FE" w:rsidP="00250656">
            <w:pPr>
              <w:ind w:firstLine="0"/>
              <w:jc w:val="left"/>
              <w:rPr>
                <w:sz w:val="24"/>
                <w:szCs w:val="24"/>
                <w:lang w:val="en-ID" w:eastAsia="ja-JP"/>
              </w:rPr>
            </w:pPr>
            <w:r>
              <w:rPr>
                <w:color w:val="000000"/>
                <w:sz w:val="16"/>
                <w:szCs w:val="16"/>
                <w:lang w:val="en-ID" w:eastAsia="ja-JP"/>
              </w:rPr>
              <w:t>71.83</w:t>
            </w:r>
          </w:p>
        </w:tc>
        <w:tc>
          <w:tcPr>
            <w:tcW w:w="1327" w:type="dxa"/>
            <w:tcBorders>
              <w:top w:val="single" w:sz="4" w:space="0" w:color="000000"/>
              <w:left w:val="single" w:sz="4" w:space="0" w:color="000000"/>
              <w:bottom w:val="single" w:sz="4" w:space="0" w:color="000000"/>
              <w:right w:val="single" w:sz="4" w:space="0" w:color="000000"/>
            </w:tcBorders>
            <w:vAlign w:val="center"/>
          </w:tcPr>
          <w:p w14:paraId="3011CE3E" w14:textId="77777777" w:rsidR="00AB61FE" w:rsidRDefault="00AB61FE" w:rsidP="00250656">
            <w:pPr>
              <w:ind w:firstLine="0"/>
              <w:jc w:val="left"/>
              <w:rPr>
                <w:sz w:val="24"/>
                <w:szCs w:val="24"/>
                <w:lang w:val="en-ID" w:eastAsia="ja-JP"/>
              </w:rPr>
            </w:pPr>
            <w:r>
              <w:rPr>
                <w:color w:val="000000"/>
                <w:sz w:val="16"/>
                <w:szCs w:val="16"/>
                <w:lang w:val="en-ID" w:eastAsia="ja-JP"/>
              </w:rPr>
              <w:t>75.36</w:t>
            </w:r>
          </w:p>
        </w:tc>
      </w:tr>
      <w:tr w:rsidR="00AB61FE" w14:paraId="0F122CEA"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BD3F6D"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13372612" w14:textId="77777777" w:rsidR="00AB61FE" w:rsidRDefault="00AB61FE" w:rsidP="00250656">
            <w:pPr>
              <w:ind w:firstLine="0"/>
              <w:jc w:val="left"/>
              <w:rPr>
                <w:sz w:val="24"/>
                <w:szCs w:val="24"/>
                <w:lang w:val="en-ID" w:eastAsia="ja-JP"/>
              </w:rPr>
            </w:pPr>
            <w:r>
              <w:rPr>
                <w:color w:val="000000"/>
                <w:sz w:val="16"/>
                <w:szCs w:val="16"/>
                <w:lang w:val="en-ID" w:eastAsia="ja-JP"/>
              </w:rPr>
              <w:t>80</w:t>
            </w:r>
          </w:p>
        </w:tc>
        <w:tc>
          <w:tcPr>
            <w:tcW w:w="1107" w:type="dxa"/>
            <w:tcBorders>
              <w:top w:val="single" w:sz="4" w:space="0" w:color="000000"/>
              <w:left w:val="single" w:sz="4" w:space="0" w:color="000000"/>
              <w:bottom w:val="single" w:sz="4" w:space="0" w:color="000000"/>
              <w:right w:val="single" w:sz="4" w:space="0" w:color="000000"/>
            </w:tcBorders>
            <w:vAlign w:val="center"/>
          </w:tcPr>
          <w:p w14:paraId="45BC427A" w14:textId="77777777" w:rsidR="00AB61FE" w:rsidRDefault="00AB61FE" w:rsidP="00250656">
            <w:pPr>
              <w:ind w:firstLine="0"/>
              <w:jc w:val="left"/>
              <w:rPr>
                <w:sz w:val="24"/>
                <w:szCs w:val="24"/>
                <w:lang w:val="en-ID" w:eastAsia="ja-JP"/>
              </w:rPr>
            </w:pPr>
            <w:r>
              <w:rPr>
                <w:color w:val="000000"/>
                <w:sz w:val="16"/>
                <w:szCs w:val="16"/>
                <w:lang w:val="en-ID" w:eastAsia="ja-JP"/>
              </w:rPr>
              <w:t>83.01</w:t>
            </w:r>
          </w:p>
        </w:tc>
        <w:tc>
          <w:tcPr>
            <w:tcW w:w="1327" w:type="dxa"/>
            <w:tcBorders>
              <w:top w:val="single" w:sz="4" w:space="0" w:color="000000"/>
              <w:left w:val="single" w:sz="4" w:space="0" w:color="000000"/>
              <w:bottom w:val="single" w:sz="4" w:space="0" w:color="000000"/>
              <w:right w:val="single" w:sz="4" w:space="0" w:color="000000"/>
            </w:tcBorders>
            <w:vAlign w:val="center"/>
          </w:tcPr>
          <w:p w14:paraId="624F162A" w14:textId="77777777" w:rsidR="00AB61FE" w:rsidRDefault="00AB61FE" w:rsidP="00250656">
            <w:pPr>
              <w:ind w:firstLine="0"/>
              <w:jc w:val="left"/>
              <w:rPr>
                <w:sz w:val="24"/>
                <w:szCs w:val="24"/>
                <w:lang w:val="en-ID" w:eastAsia="ja-JP"/>
              </w:rPr>
            </w:pPr>
            <w:r>
              <w:rPr>
                <w:color w:val="000000"/>
                <w:sz w:val="16"/>
                <w:szCs w:val="16"/>
                <w:lang w:val="en-ID" w:eastAsia="ja-JP"/>
              </w:rPr>
              <w:t>85.94</w:t>
            </w:r>
          </w:p>
        </w:tc>
      </w:tr>
      <w:tr w:rsidR="00AB61FE" w14:paraId="633F0BE4" w14:textId="77777777" w:rsidTr="00250656">
        <w:trPr>
          <w:trHeight w:val="240"/>
          <w:jc w:val="center"/>
        </w:trPr>
        <w:tc>
          <w:tcPr>
            <w:tcW w:w="92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51D6D0" w14:textId="77777777" w:rsidR="00AB61FE" w:rsidRDefault="00AB61FE" w:rsidP="00250656">
            <w:pPr>
              <w:jc w:val="left"/>
            </w:pPr>
          </w:p>
        </w:tc>
        <w:tc>
          <w:tcPr>
            <w:tcW w:w="683" w:type="dxa"/>
            <w:tcBorders>
              <w:top w:val="single" w:sz="4" w:space="0" w:color="000000"/>
              <w:left w:val="single" w:sz="4" w:space="0" w:color="000000"/>
              <w:bottom w:val="single" w:sz="4" w:space="0" w:color="000000"/>
              <w:right w:val="single" w:sz="4" w:space="0" w:color="000000"/>
            </w:tcBorders>
            <w:vAlign w:val="center"/>
          </w:tcPr>
          <w:p w14:paraId="29AAC02E" w14:textId="77777777" w:rsidR="00AB61FE" w:rsidRDefault="00AB61FE" w:rsidP="00250656">
            <w:pPr>
              <w:ind w:firstLine="0"/>
              <w:jc w:val="left"/>
              <w:rPr>
                <w:sz w:val="24"/>
                <w:szCs w:val="24"/>
                <w:lang w:val="en-ID" w:eastAsia="ja-JP"/>
              </w:rPr>
            </w:pPr>
            <w:r>
              <w:rPr>
                <w:color w:val="000000"/>
                <w:sz w:val="16"/>
                <w:szCs w:val="16"/>
                <w:lang w:val="en-ID" w:eastAsia="ja-JP"/>
              </w:rPr>
              <w:t>90</w:t>
            </w:r>
          </w:p>
        </w:tc>
        <w:tc>
          <w:tcPr>
            <w:tcW w:w="1107" w:type="dxa"/>
            <w:tcBorders>
              <w:top w:val="single" w:sz="4" w:space="0" w:color="000000"/>
              <w:left w:val="single" w:sz="4" w:space="0" w:color="000000"/>
              <w:bottom w:val="single" w:sz="4" w:space="0" w:color="000000"/>
              <w:right w:val="single" w:sz="4" w:space="0" w:color="000000"/>
            </w:tcBorders>
            <w:vAlign w:val="center"/>
          </w:tcPr>
          <w:p w14:paraId="169B7DA7" w14:textId="77777777" w:rsidR="00AB61FE" w:rsidRDefault="00AB61FE" w:rsidP="00250656">
            <w:pPr>
              <w:ind w:firstLine="0"/>
              <w:jc w:val="left"/>
              <w:rPr>
                <w:sz w:val="24"/>
                <w:szCs w:val="24"/>
                <w:lang w:val="en-ID" w:eastAsia="ja-JP"/>
              </w:rPr>
            </w:pPr>
            <w:r>
              <w:rPr>
                <w:color w:val="000000"/>
                <w:sz w:val="16"/>
                <w:szCs w:val="16"/>
                <w:lang w:val="en-ID" w:eastAsia="ja-JP"/>
              </w:rPr>
              <w:t>92.86</w:t>
            </w:r>
          </w:p>
        </w:tc>
        <w:tc>
          <w:tcPr>
            <w:tcW w:w="1327" w:type="dxa"/>
            <w:tcBorders>
              <w:top w:val="single" w:sz="4" w:space="0" w:color="000000"/>
              <w:left w:val="single" w:sz="4" w:space="0" w:color="000000"/>
              <w:bottom w:val="single" w:sz="4" w:space="0" w:color="000000"/>
              <w:right w:val="single" w:sz="4" w:space="0" w:color="000000"/>
            </w:tcBorders>
            <w:vAlign w:val="center"/>
          </w:tcPr>
          <w:p w14:paraId="66303A72" w14:textId="77777777" w:rsidR="00AB61FE" w:rsidRDefault="00AB61FE" w:rsidP="00250656">
            <w:pPr>
              <w:ind w:firstLine="0"/>
              <w:jc w:val="left"/>
              <w:rPr>
                <w:sz w:val="24"/>
                <w:szCs w:val="24"/>
                <w:lang w:val="en-ID" w:eastAsia="ja-JP"/>
              </w:rPr>
            </w:pPr>
            <w:r>
              <w:rPr>
                <w:color w:val="000000"/>
                <w:sz w:val="16"/>
                <w:szCs w:val="16"/>
                <w:lang w:val="en-ID" w:eastAsia="ja-JP"/>
              </w:rPr>
              <w:t>97.45</w:t>
            </w:r>
          </w:p>
        </w:tc>
      </w:tr>
    </w:tbl>
    <w:p w14:paraId="04B819ED" w14:textId="77777777" w:rsidR="00AB61FE" w:rsidRDefault="00AB61FE" w:rsidP="00AB61FE">
      <w:pPr>
        <w:ind w:firstLine="0"/>
        <w:jc w:val="left"/>
        <w:rPr>
          <w:sz w:val="24"/>
          <w:szCs w:val="24"/>
          <w:lang w:val="en-ID" w:eastAsia="ja-JP"/>
        </w:rPr>
      </w:pPr>
    </w:p>
    <w:p w14:paraId="3D5B175B" w14:textId="77777777" w:rsidR="00AB61FE" w:rsidRDefault="00AB61FE" w:rsidP="00AB61FE">
      <w:pPr>
        <w:ind w:firstLine="0"/>
        <w:rPr>
          <w:sz w:val="24"/>
          <w:szCs w:val="24"/>
          <w:lang w:val="en-ID" w:eastAsia="ja-JP"/>
        </w:rPr>
      </w:pPr>
    </w:p>
    <w:p w14:paraId="0FE430E9" w14:textId="77777777" w:rsidR="00051088" w:rsidRDefault="00000000">
      <w:pPr>
        <w:ind w:firstLine="0"/>
        <w:jc w:val="center"/>
        <w:rPr>
          <w:sz w:val="24"/>
          <w:szCs w:val="24"/>
          <w:lang w:val="en-ID" w:eastAsia="ja-JP"/>
        </w:rPr>
      </w:pPr>
      <w:r>
        <w:rPr>
          <w:noProof/>
        </w:rPr>
        <w:lastRenderedPageBreak/>
        <w:drawing>
          <wp:inline distT="0" distB="0" distL="0" distR="0" wp14:anchorId="02CEACED" wp14:editId="2D94FD01">
            <wp:extent cx="627978" cy="1390357"/>
            <wp:effectExtent l="0" t="0" r="1270" b="635"/>
            <wp:docPr id="11" name="Picture 12"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descr="A screenshot of a cell phone&#10;&#10;AI-generated content may be incorrect."/>
                    <pic:cNvPicPr>
                      <a:picLocks noChangeAspect="1" noChangeArrowheads="1"/>
                    </pic:cNvPicPr>
                  </pic:nvPicPr>
                  <pic:blipFill>
                    <a:blip r:embed="rId24"/>
                    <a:stretch>
                      <a:fillRect/>
                    </a:stretch>
                  </pic:blipFill>
                  <pic:spPr bwMode="auto">
                    <a:xfrm>
                      <a:off x="0" y="0"/>
                      <a:ext cx="630953" cy="1396943"/>
                    </a:xfrm>
                    <a:prstGeom prst="rect">
                      <a:avLst/>
                    </a:prstGeom>
                  </pic:spPr>
                </pic:pic>
              </a:graphicData>
            </a:graphic>
          </wp:inline>
        </w:drawing>
      </w:r>
      <w:r>
        <w:rPr>
          <w:noProof/>
        </w:rPr>
        <w:drawing>
          <wp:inline distT="0" distB="0" distL="0" distR="0" wp14:anchorId="4225D3A9" wp14:editId="6338F3B0">
            <wp:extent cx="1934308" cy="1382737"/>
            <wp:effectExtent l="0" t="0" r="889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25"/>
                    <a:stretch>
                      <a:fillRect/>
                    </a:stretch>
                  </pic:blipFill>
                  <pic:spPr bwMode="auto">
                    <a:xfrm>
                      <a:off x="0" y="0"/>
                      <a:ext cx="1938327" cy="1385610"/>
                    </a:xfrm>
                    <a:prstGeom prst="rect">
                      <a:avLst/>
                    </a:prstGeom>
                  </pic:spPr>
                </pic:pic>
              </a:graphicData>
            </a:graphic>
          </wp:inline>
        </w:drawing>
      </w:r>
    </w:p>
    <w:p w14:paraId="40351BC2" w14:textId="68044F56" w:rsidR="00051088" w:rsidRDefault="00000000">
      <w:pPr>
        <w:spacing w:before="120" w:after="240"/>
        <w:ind w:firstLine="0"/>
        <w:jc w:val="center"/>
        <w:rPr>
          <w:sz w:val="24"/>
          <w:szCs w:val="24"/>
          <w:lang w:val="en-ID" w:eastAsia="ja-JP"/>
        </w:rPr>
      </w:pPr>
      <w:r>
        <w:rPr>
          <w:color w:val="000000"/>
          <w:sz w:val="16"/>
          <w:szCs w:val="16"/>
          <w:lang w:val="en-ID" w:eastAsia="ja-JP"/>
        </w:rPr>
        <w:t>Figure 9. Colorizer app detection screen.</w:t>
      </w:r>
    </w:p>
    <w:p w14:paraId="7519CE50" w14:textId="77777777" w:rsidR="00051088" w:rsidRDefault="00000000" w:rsidP="00B95900">
      <w:pPr>
        <w:rPr>
          <w:sz w:val="24"/>
          <w:szCs w:val="24"/>
          <w:lang w:val="en-ID" w:eastAsia="ja-JP"/>
        </w:rPr>
      </w:pPr>
      <w:r>
        <w:rPr>
          <w:color w:val="000000"/>
          <w:lang w:val="en-ID" w:eastAsia="ja-JP"/>
        </w:rPr>
        <w:t xml:space="preserve">Illumination control, managed via an ESP32 microcontroller and a 1 W high-power LED, achieved less than 1% variance across replicates using Bluetooth Low Energy (BLE). Manual operation with a momentary push button was also supported for field flexibility. The 3.7 V Li-ion battery (≥1000 </w:t>
      </w:r>
      <w:proofErr w:type="spellStart"/>
      <w:r>
        <w:rPr>
          <w:color w:val="000000"/>
          <w:lang w:val="en-ID" w:eastAsia="ja-JP"/>
        </w:rPr>
        <w:t>mAh</w:t>
      </w:r>
      <w:proofErr w:type="spellEnd"/>
      <w:r>
        <w:rPr>
          <w:color w:val="000000"/>
          <w:lang w:val="en-ID" w:eastAsia="ja-JP"/>
        </w:rPr>
        <w:t>) provided 15–20 minutes of continuous use. Hardware and software integration enabled seamless offline data collection, storage in a Room database, and immediate concentration predictions, confirming dependable performance under controlled conditions. With these operational conditions verified, the system’s quantitative performance was assessed using synthetic-dye assays to evaluate predictive accuracy and reproducibility. The following section summarizes these results, emphasizing model performance with red, yellow, and blue dyes under the established measurement setup.</w:t>
      </w:r>
    </w:p>
    <w:p w14:paraId="7A0CBF1B" w14:textId="77777777" w:rsidR="00051088" w:rsidRDefault="00000000" w:rsidP="0057198C">
      <w:pPr>
        <w:pStyle w:val="Heading2"/>
        <w:numPr>
          <w:ilvl w:val="0"/>
          <w:numId w:val="14"/>
        </w:numPr>
        <w:ind w:left="357" w:hanging="357"/>
        <w:textAlignment w:val="baseline"/>
        <w:rPr>
          <w:lang w:val="en-ID" w:eastAsia="ja-JP"/>
        </w:rPr>
      </w:pPr>
      <w:r>
        <w:rPr>
          <w:color w:val="000000" w:themeColor="dark1"/>
        </w:rPr>
        <w:t>Performance Metrics</w:t>
      </w:r>
    </w:p>
    <w:p w14:paraId="25385E98" w14:textId="39382AB7" w:rsidR="00051088" w:rsidRDefault="00000000" w:rsidP="00B95900">
      <w:pPr>
        <w:rPr>
          <w:color w:val="000000"/>
          <w:lang w:val="en-ID" w:eastAsia="ja-JP"/>
        </w:rPr>
      </w:pPr>
      <w:r>
        <w:rPr>
          <w:color w:val="000000"/>
          <w:lang w:val="en-ID" w:eastAsia="ja-JP"/>
        </w:rPr>
        <w:t xml:space="preserve">Validation experiments (Table II) using synthetic-dye assays demonstrated strong agreement between predicted and actual concentrations. The final regression models achieved R² values of 0.9952 for red, 0.9816 for yellow, and 0.9321 for blue, with corresponding </w:t>
      </w:r>
      <w:r w:rsidR="00AB61FE" w:rsidRPr="00AB61FE">
        <w:rPr>
          <w:color w:val="000000"/>
          <w:lang w:val="en-ID" w:eastAsia="ja-JP"/>
        </w:rPr>
        <w:t>Root Mean Square Error</w:t>
      </w:r>
      <w:r w:rsidR="00AB61FE">
        <w:rPr>
          <w:color w:val="000000"/>
          <w:lang w:val="en-ID" w:eastAsia="ja-JP"/>
        </w:rPr>
        <w:t xml:space="preserve"> (</w:t>
      </w:r>
      <w:r>
        <w:rPr>
          <w:color w:val="000000"/>
          <w:lang w:val="en-ID" w:eastAsia="ja-JP"/>
        </w:rPr>
        <w:t>RMSE</w:t>
      </w:r>
      <w:r w:rsidR="00AB61FE">
        <w:rPr>
          <w:color w:val="000000"/>
          <w:lang w:val="en-ID" w:eastAsia="ja-JP"/>
        </w:rPr>
        <w:t>)</w:t>
      </w:r>
      <w:r>
        <w:rPr>
          <w:color w:val="000000"/>
          <w:lang w:val="en-ID" w:eastAsia="ja-JP"/>
        </w:rPr>
        <w:t xml:space="preserve"> values of 1.901, 3.846, and 7.168. These metrics indicate high predictive accuracy for red and yellow dyes and slightly lower performance for blue due to reduced signal-to-noise ratios at higher absorbance levels. All measurements were performed in triplicate to ensure reproducibility. </w:t>
      </w:r>
    </w:p>
    <w:p w14:paraId="2EB7D243" w14:textId="77777777" w:rsidR="00AB61FE" w:rsidRDefault="00AB61FE" w:rsidP="00B95900">
      <w:pPr>
        <w:rPr>
          <w:color w:val="000000"/>
          <w:lang w:val="en-ID" w:eastAsia="ja-JP"/>
        </w:rPr>
      </w:pPr>
    </w:p>
    <w:p w14:paraId="660385E4" w14:textId="77777777" w:rsidR="00334F2D" w:rsidRDefault="00334F2D" w:rsidP="00334F2D">
      <w:pPr>
        <w:ind w:firstLine="0"/>
        <w:jc w:val="center"/>
        <w:rPr>
          <w:sz w:val="24"/>
          <w:szCs w:val="24"/>
          <w:lang w:val="en-ID" w:eastAsia="ja-JP"/>
        </w:rPr>
      </w:pPr>
      <w:r>
        <w:rPr>
          <w:smallCaps/>
          <w:color w:val="000000"/>
          <w:sz w:val="16"/>
          <w:szCs w:val="16"/>
          <w:lang w:val="en-ID" w:eastAsia="ja-JP"/>
        </w:rPr>
        <w:t>Table II</w:t>
      </w:r>
    </w:p>
    <w:p w14:paraId="30345F2F" w14:textId="77777777" w:rsidR="00334F2D" w:rsidRDefault="00334F2D" w:rsidP="00302E85">
      <w:pPr>
        <w:ind w:firstLine="0"/>
        <w:jc w:val="center"/>
        <w:rPr>
          <w:sz w:val="24"/>
          <w:szCs w:val="24"/>
          <w:lang w:val="en-ID" w:eastAsia="ja-JP"/>
        </w:rPr>
      </w:pPr>
      <w:r>
        <w:rPr>
          <w:smallCaps/>
          <w:color w:val="000000"/>
          <w:sz w:val="16"/>
          <w:szCs w:val="16"/>
          <w:lang w:val="en-ID" w:eastAsia="ja-JP"/>
        </w:rPr>
        <w:t>performance metrics for dye assays</w:t>
      </w:r>
    </w:p>
    <w:tbl>
      <w:tblPr>
        <w:tblW w:w="3275" w:type="dxa"/>
        <w:jc w:val="center"/>
        <w:tblLayout w:type="fixed"/>
        <w:tblLook w:val="04A0" w:firstRow="1" w:lastRow="0" w:firstColumn="1" w:lastColumn="0" w:noHBand="0" w:noVBand="1"/>
      </w:tblPr>
      <w:tblGrid>
        <w:gridCol w:w="751"/>
        <w:gridCol w:w="1276"/>
        <w:gridCol w:w="1248"/>
      </w:tblGrid>
      <w:tr w:rsidR="00334F2D" w14:paraId="6630E42A" w14:textId="77777777" w:rsidTr="00B95900">
        <w:trPr>
          <w:trHeight w:val="142"/>
          <w:jc w:val="center"/>
        </w:trPr>
        <w:tc>
          <w:tcPr>
            <w:tcW w:w="751" w:type="dxa"/>
            <w:tcBorders>
              <w:top w:val="single" w:sz="4" w:space="0" w:color="000000"/>
              <w:left w:val="single" w:sz="4" w:space="0" w:color="000000"/>
              <w:bottom w:val="single" w:sz="4" w:space="0" w:color="000000"/>
              <w:right w:val="single" w:sz="4" w:space="0" w:color="000000"/>
            </w:tcBorders>
            <w:vAlign w:val="center"/>
          </w:tcPr>
          <w:p w14:paraId="6434625E" w14:textId="77777777" w:rsidR="00334F2D" w:rsidRDefault="00334F2D" w:rsidP="00B95900">
            <w:pPr>
              <w:ind w:firstLine="0"/>
              <w:jc w:val="center"/>
              <w:rPr>
                <w:b/>
                <w:sz w:val="16"/>
                <w:szCs w:val="16"/>
                <w:lang w:val="en-US"/>
              </w:rPr>
            </w:pPr>
            <w:r>
              <w:rPr>
                <w:b/>
                <w:sz w:val="16"/>
                <w:szCs w:val="16"/>
                <w:lang w:val="en-US"/>
              </w:rPr>
              <w:t>D</w:t>
            </w:r>
            <w:r>
              <w:rPr>
                <w:b/>
                <w:sz w:val="16"/>
                <w:szCs w:val="16"/>
              </w:rPr>
              <w:t>ye Color</w:t>
            </w:r>
          </w:p>
        </w:tc>
        <w:tc>
          <w:tcPr>
            <w:tcW w:w="1276" w:type="dxa"/>
            <w:tcBorders>
              <w:top w:val="single" w:sz="4" w:space="0" w:color="000000"/>
              <w:left w:val="single" w:sz="4" w:space="0" w:color="000000"/>
              <w:bottom w:val="single" w:sz="4" w:space="0" w:color="000000"/>
              <w:right w:val="single" w:sz="4" w:space="0" w:color="000000"/>
            </w:tcBorders>
            <w:vAlign w:val="center"/>
          </w:tcPr>
          <w:p w14:paraId="48AE9740" w14:textId="77777777" w:rsidR="00334F2D" w:rsidRDefault="00334F2D" w:rsidP="00B95900">
            <w:pPr>
              <w:ind w:firstLine="0"/>
              <w:jc w:val="center"/>
              <w:rPr>
                <w:b/>
                <w:sz w:val="16"/>
                <w:szCs w:val="16"/>
                <w:vertAlign w:val="superscript"/>
                <w:lang w:val="en-US"/>
              </w:rPr>
            </w:pPr>
            <w:r>
              <w:rPr>
                <w:b/>
                <w:sz w:val="16"/>
                <w:szCs w:val="16"/>
                <w:lang w:val="en-US"/>
              </w:rPr>
              <w:t>R</w:t>
            </w:r>
            <w:r>
              <w:rPr>
                <w:b/>
                <w:sz w:val="16"/>
                <w:szCs w:val="16"/>
                <w:vertAlign w:val="superscript"/>
                <w:lang w:val="en-US"/>
              </w:rPr>
              <w:t>2</w:t>
            </w:r>
          </w:p>
        </w:tc>
        <w:tc>
          <w:tcPr>
            <w:tcW w:w="1248" w:type="dxa"/>
            <w:tcBorders>
              <w:top w:val="single" w:sz="4" w:space="0" w:color="000000"/>
              <w:left w:val="single" w:sz="4" w:space="0" w:color="000000"/>
              <w:bottom w:val="single" w:sz="4" w:space="0" w:color="000000"/>
              <w:right w:val="single" w:sz="4" w:space="0" w:color="000000"/>
            </w:tcBorders>
            <w:vAlign w:val="center"/>
          </w:tcPr>
          <w:p w14:paraId="6CED49B0" w14:textId="77777777" w:rsidR="00334F2D" w:rsidRDefault="00334F2D" w:rsidP="00B95900">
            <w:pPr>
              <w:ind w:firstLine="0"/>
              <w:jc w:val="center"/>
              <w:rPr>
                <w:b/>
                <w:sz w:val="16"/>
                <w:szCs w:val="16"/>
                <w:lang w:val="en-US"/>
              </w:rPr>
            </w:pPr>
            <w:r>
              <w:rPr>
                <w:b/>
                <w:sz w:val="16"/>
                <w:szCs w:val="16"/>
                <w:lang w:val="en-US"/>
              </w:rPr>
              <w:t>RMSE</w:t>
            </w:r>
          </w:p>
        </w:tc>
      </w:tr>
      <w:tr w:rsidR="00334F2D" w14:paraId="01644D71" w14:textId="77777777" w:rsidTr="00A7427B">
        <w:trPr>
          <w:trHeight w:val="269"/>
          <w:jc w:val="center"/>
        </w:trPr>
        <w:tc>
          <w:tcPr>
            <w:tcW w:w="751" w:type="dxa"/>
            <w:tcBorders>
              <w:top w:val="single" w:sz="4" w:space="0" w:color="000000"/>
              <w:left w:val="single" w:sz="4" w:space="0" w:color="000000"/>
              <w:bottom w:val="single" w:sz="4" w:space="0" w:color="000000"/>
              <w:right w:val="single" w:sz="4" w:space="0" w:color="000000"/>
            </w:tcBorders>
            <w:vAlign w:val="center"/>
          </w:tcPr>
          <w:p w14:paraId="7CAE0994" w14:textId="77777777" w:rsidR="00334F2D" w:rsidRDefault="00334F2D" w:rsidP="00A7427B">
            <w:pPr>
              <w:ind w:firstLine="0"/>
              <w:jc w:val="left"/>
              <w:rPr>
                <w:sz w:val="16"/>
                <w:szCs w:val="16"/>
                <w:lang w:val="en-US"/>
              </w:rPr>
            </w:pPr>
            <w:r>
              <w:rPr>
                <w:sz w:val="16"/>
                <w:szCs w:val="16"/>
                <w:lang w:val="en-US"/>
              </w:rPr>
              <w:t>Red</w:t>
            </w:r>
          </w:p>
        </w:tc>
        <w:tc>
          <w:tcPr>
            <w:tcW w:w="1276" w:type="dxa"/>
            <w:tcBorders>
              <w:top w:val="single" w:sz="4" w:space="0" w:color="000000"/>
              <w:left w:val="single" w:sz="4" w:space="0" w:color="000000"/>
              <w:bottom w:val="single" w:sz="4" w:space="0" w:color="000000"/>
              <w:right w:val="single" w:sz="4" w:space="0" w:color="000000"/>
            </w:tcBorders>
            <w:vAlign w:val="center"/>
          </w:tcPr>
          <w:p w14:paraId="3BB2694E" w14:textId="77777777" w:rsidR="00334F2D" w:rsidRDefault="00334F2D" w:rsidP="00A7427B">
            <w:pPr>
              <w:ind w:firstLine="0"/>
              <w:jc w:val="left"/>
              <w:rPr>
                <w:sz w:val="16"/>
                <w:szCs w:val="16"/>
                <w:lang w:val="en-US"/>
              </w:rPr>
            </w:pPr>
            <w:r>
              <w:rPr>
                <w:sz w:val="16"/>
                <w:szCs w:val="16"/>
                <w:lang w:val="en-US"/>
              </w:rPr>
              <w:t>0.9952</w:t>
            </w:r>
          </w:p>
        </w:tc>
        <w:tc>
          <w:tcPr>
            <w:tcW w:w="1248" w:type="dxa"/>
            <w:tcBorders>
              <w:top w:val="single" w:sz="4" w:space="0" w:color="000000"/>
              <w:left w:val="single" w:sz="4" w:space="0" w:color="000000"/>
              <w:bottom w:val="single" w:sz="4" w:space="0" w:color="000000"/>
              <w:right w:val="single" w:sz="4" w:space="0" w:color="000000"/>
            </w:tcBorders>
            <w:vAlign w:val="center"/>
          </w:tcPr>
          <w:p w14:paraId="467E9699" w14:textId="77777777" w:rsidR="00334F2D" w:rsidRDefault="00334F2D" w:rsidP="00A7427B">
            <w:pPr>
              <w:ind w:firstLine="0"/>
              <w:jc w:val="left"/>
              <w:rPr>
                <w:sz w:val="16"/>
                <w:szCs w:val="16"/>
                <w:lang w:val="en-US"/>
              </w:rPr>
            </w:pPr>
            <w:r>
              <w:rPr>
                <w:sz w:val="16"/>
                <w:szCs w:val="16"/>
                <w:lang w:val="en-US"/>
              </w:rPr>
              <w:t>1.901</w:t>
            </w:r>
          </w:p>
        </w:tc>
      </w:tr>
      <w:tr w:rsidR="00334F2D" w14:paraId="65942082" w14:textId="77777777" w:rsidTr="00A7427B">
        <w:trPr>
          <w:trHeight w:val="269"/>
          <w:jc w:val="center"/>
        </w:trPr>
        <w:tc>
          <w:tcPr>
            <w:tcW w:w="751" w:type="dxa"/>
            <w:tcBorders>
              <w:top w:val="single" w:sz="4" w:space="0" w:color="000000"/>
              <w:left w:val="single" w:sz="4" w:space="0" w:color="000000"/>
              <w:bottom w:val="single" w:sz="4" w:space="0" w:color="000000"/>
              <w:right w:val="single" w:sz="4" w:space="0" w:color="000000"/>
            </w:tcBorders>
            <w:vAlign w:val="center"/>
          </w:tcPr>
          <w:p w14:paraId="7FFBA411" w14:textId="77777777" w:rsidR="00334F2D" w:rsidRDefault="00334F2D" w:rsidP="00A7427B">
            <w:pPr>
              <w:ind w:firstLine="0"/>
              <w:jc w:val="left"/>
              <w:rPr>
                <w:sz w:val="16"/>
                <w:szCs w:val="16"/>
                <w:lang w:val="en-US"/>
              </w:rPr>
            </w:pPr>
            <w:r>
              <w:rPr>
                <w:sz w:val="16"/>
                <w:szCs w:val="16"/>
                <w:lang w:val="en-US"/>
              </w:rPr>
              <w:t>Yellow</w:t>
            </w:r>
          </w:p>
        </w:tc>
        <w:tc>
          <w:tcPr>
            <w:tcW w:w="1276" w:type="dxa"/>
            <w:tcBorders>
              <w:top w:val="single" w:sz="4" w:space="0" w:color="000000"/>
              <w:left w:val="single" w:sz="4" w:space="0" w:color="000000"/>
              <w:bottom w:val="single" w:sz="4" w:space="0" w:color="000000"/>
              <w:right w:val="single" w:sz="4" w:space="0" w:color="000000"/>
            </w:tcBorders>
            <w:vAlign w:val="center"/>
          </w:tcPr>
          <w:p w14:paraId="73D20CF8" w14:textId="77777777" w:rsidR="00334F2D" w:rsidRDefault="00334F2D" w:rsidP="00A7427B">
            <w:pPr>
              <w:ind w:firstLine="0"/>
              <w:jc w:val="left"/>
              <w:rPr>
                <w:sz w:val="16"/>
                <w:szCs w:val="16"/>
                <w:lang w:val="en-US"/>
              </w:rPr>
            </w:pPr>
            <w:r>
              <w:rPr>
                <w:sz w:val="16"/>
                <w:szCs w:val="16"/>
                <w:lang w:val="en-US"/>
              </w:rPr>
              <w:t>0.9816</w:t>
            </w:r>
          </w:p>
        </w:tc>
        <w:tc>
          <w:tcPr>
            <w:tcW w:w="1248" w:type="dxa"/>
            <w:tcBorders>
              <w:top w:val="single" w:sz="4" w:space="0" w:color="000000"/>
              <w:left w:val="single" w:sz="4" w:space="0" w:color="000000"/>
              <w:bottom w:val="single" w:sz="4" w:space="0" w:color="000000"/>
              <w:right w:val="single" w:sz="4" w:space="0" w:color="000000"/>
            </w:tcBorders>
            <w:vAlign w:val="center"/>
          </w:tcPr>
          <w:p w14:paraId="5C4887F1" w14:textId="77777777" w:rsidR="00334F2D" w:rsidRDefault="00334F2D" w:rsidP="00A7427B">
            <w:pPr>
              <w:ind w:firstLine="0"/>
              <w:jc w:val="left"/>
              <w:rPr>
                <w:sz w:val="16"/>
                <w:szCs w:val="16"/>
                <w:lang w:val="en-US"/>
              </w:rPr>
            </w:pPr>
            <w:r>
              <w:rPr>
                <w:sz w:val="16"/>
                <w:szCs w:val="16"/>
                <w:lang w:val="en-US"/>
              </w:rPr>
              <w:t>3.846</w:t>
            </w:r>
          </w:p>
        </w:tc>
      </w:tr>
      <w:tr w:rsidR="00334F2D" w14:paraId="6235908B" w14:textId="77777777" w:rsidTr="00A7427B">
        <w:trPr>
          <w:trHeight w:val="269"/>
          <w:jc w:val="center"/>
        </w:trPr>
        <w:tc>
          <w:tcPr>
            <w:tcW w:w="751" w:type="dxa"/>
            <w:tcBorders>
              <w:top w:val="single" w:sz="4" w:space="0" w:color="000000"/>
              <w:left w:val="single" w:sz="4" w:space="0" w:color="000000"/>
              <w:bottom w:val="single" w:sz="4" w:space="0" w:color="000000"/>
              <w:right w:val="single" w:sz="4" w:space="0" w:color="000000"/>
            </w:tcBorders>
            <w:vAlign w:val="center"/>
          </w:tcPr>
          <w:p w14:paraId="7EB01402" w14:textId="77777777" w:rsidR="00334F2D" w:rsidRDefault="00334F2D" w:rsidP="00A7427B">
            <w:pPr>
              <w:ind w:firstLine="0"/>
              <w:jc w:val="left"/>
              <w:rPr>
                <w:sz w:val="16"/>
                <w:szCs w:val="16"/>
                <w:lang w:val="en-US"/>
              </w:rPr>
            </w:pPr>
            <w:r>
              <w:rPr>
                <w:sz w:val="16"/>
                <w:szCs w:val="16"/>
                <w:lang w:val="en-US"/>
              </w:rPr>
              <w:t>Blue</w:t>
            </w:r>
          </w:p>
        </w:tc>
        <w:tc>
          <w:tcPr>
            <w:tcW w:w="1276" w:type="dxa"/>
            <w:tcBorders>
              <w:top w:val="single" w:sz="4" w:space="0" w:color="000000"/>
              <w:left w:val="single" w:sz="4" w:space="0" w:color="000000"/>
              <w:bottom w:val="single" w:sz="4" w:space="0" w:color="000000"/>
              <w:right w:val="single" w:sz="4" w:space="0" w:color="000000"/>
            </w:tcBorders>
            <w:vAlign w:val="center"/>
          </w:tcPr>
          <w:p w14:paraId="43FC8970" w14:textId="77777777" w:rsidR="00334F2D" w:rsidRDefault="00334F2D" w:rsidP="00A7427B">
            <w:pPr>
              <w:ind w:firstLine="0"/>
              <w:jc w:val="left"/>
              <w:rPr>
                <w:sz w:val="16"/>
                <w:szCs w:val="16"/>
                <w:lang w:val="en-US"/>
              </w:rPr>
            </w:pPr>
            <w:r>
              <w:rPr>
                <w:sz w:val="16"/>
                <w:szCs w:val="16"/>
                <w:lang w:val="en-US"/>
              </w:rPr>
              <w:t>0.9321</w:t>
            </w:r>
          </w:p>
        </w:tc>
        <w:tc>
          <w:tcPr>
            <w:tcW w:w="1248" w:type="dxa"/>
            <w:tcBorders>
              <w:top w:val="single" w:sz="4" w:space="0" w:color="000000"/>
              <w:left w:val="single" w:sz="4" w:space="0" w:color="000000"/>
              <w:bottom w:val="single" w:sz="4" w:space="0" w:color="000000"/>
              <w:right w:val="single" w:sz="4" w:space="0" w:color="000000"/>
            </w:tcBorders>
            <w:vAlign w:val="center"/>
          </w:tcPr>
          <w:p w14:paraId="4A315924" w14:textId="77777777" w:rsidR="00334F2D" w:rsidRDefault="00334F2D" w:rsidP="00A7427B">
            <w:pPr>
              <w:ind w:firstLine="0"/>
              <w:jc w:val="left"/>
              <w:rPr>
                <w:sz w:val="16"/>
                <w:szCs w:val="16"/>
                <w:lang w:val="en-US"/>
              </w:rPr>
            </w:pPr>
            <w:r>
              <w:rPr>
                <w:sz w:val="16"/>
                <w:szCs w:val="16"/>
                <w:lang w:val="en-US"/>
              </w:rPr>
              <w:t>7.168</w:t>
            </w:r>
          </w:p>
        </w:tc>
      </w:tr>
    </w:tbl>
    <w:p w14:paraId="6944299A" w14:textId="77777777" w:rsidR="00051088" w:rsidRDefault="00051088">
      <w:pPr>
        <w:ind w:firstLine="360"/>
        <w:rPr>
          <w:sz w:val="24"/>
          <w:szCs w:val="24"/>
          <w:lang w:val="en-ID" w:eastAsia="ja-JP"/>
        </w:rPr>
      </w:pPr>
    </w:p>
    <w:p w14:paraId="76FCD867" w14:textId="77777777" w:rsidR="00051088" w:rsidRDefault="00000000">
      <w:pPr>
        <w:ind w:firstLine="0"/>
        <w:jc w:val="left"/>
        <w:rPr>
          <w:sz w:val="24"/>
          <w:szCs w:val="24"/>
          <w:lang w:val="en-ID" w:eastAsia="ja-JP"/>
        </w:rPr>
      </w:pPr>
      <w:r>
        <w:rPr>
          <w:noProof/>
        </w:rPr>
        <w:drawing>
          <wp:inline distT="0" distB="0" distL="0" distR="0" wp14:anchorId="6DB1213B" wp14:editId="3F54CE91">
            <wp:extent cx="2874010" cy="1371600"/>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pic:cNvPicPr>
                      <a:picLocks noChangeAspect="1" noChangeArrowheads="1"/>
                    </pic:cNvPicPr>
                  </pic:nvPicPr>
                  <pic:blipFill>
                    <a:blip r:embed="rId26"/>
                    <a:stretch>
                      <a:fillRect/>
                    </a:stretch>
                  </pic:blipFill>
                  <pic:spPr bwMode="auto">
                    <a:xfrm>
                      <a:off x="0" y="0"/>
                      <a:ext cx="2874010" cy="1371600"/>
                    </a:xfrm>
                    <a:prstGeom prst="rect">
                      <a:avLst/>
                    </a:prstGeom>
                  </pic:spPr>
                </pic:pic>
              </a:graphicData>
            </a:graphic>
          </wp:inline>
        </w:drawing>
      </w:r>
    </w:p>
    <w:p w14:paraId="5D06D0FE" w14:textId="2AC6C360" w:rsidR="00051088" w:rsidRDefault="00000000">
      <w:pPr>
        <w:spacing w:before="120" w:after="240"/>
        <w:ind w:firstLine="0"/>
        <w:jc w:val="center"/>
        <w:rPr>
          <w:sz w:val="24"/>
          <w:szCs w:val="24"/>
          <w:lang w:val="en-ID" w:eastAsia="ja-JP"/>
        </w:rPr>
      </w:pPr>
      <w:r>
        <w:rPr>
          <w:color w:val="000000"/>
          <w:sz w:val="16"/>
          <w:szCs w:val="16"/>
          <w:lang w:val="en-ID" w:eastAsia="ja-JP"/>
        </w:rPr>
        <w:t xml:space="preserve">Figure 10. </w:t>
      </w:r>
      <w:r w:rsidR="002833BA">
        <w:rPr>
          <w:color w:val="000000"/>
          <w:sz w:val="16"/>
          <w:szCs w:val="16"/>
          <w:lang w:val="en-ID" w:eastAsia="ja-JP"/>
        </w:rPr>
        <w:t xml:space="preserve">The calibration’s curve of </w:t>
      </w:r>
      <w:r>
        <w:rPr>
          <w:color w:val="000000"/>
          <w:sz w:val="16"/>
          <w:szCs w:val="16"/>
          <w:lang w:val="en-ID" w:eastAsia="ja-JP"/>
        </w:rPr>
        <w:t xml:space="preserve">Predicted vs Actual Concentration </w:t>
      </w:r>
      <w:r w:rsidR="002833BA">
        <w:rPr>
          <w:color w:val="000000"/>
          <w:sz w:val="16"/>
          <w:szCs w:val="16"/>
          <w:lang w:val="en-ID" w:eastAsia="ja-JP"/>
        </w:rPr>
        <w:t>of</w:t>
      </w:r>
      <w:r>
        <w:rPr>
          <w:color w:val="000000"/>
          <w:sz w:val="16"/>
          <w:szCs w:val="16"/>
          <w:lang w:val="en-ID" w:eastAsia="ja-JP"/>
        </w:rPr>
        <w:t xml:space="preserve"> Dyes</w:t>
      </w:r>
    </w:p>
    <w:p w14:paraId="7290C65C" w14:textId="2641FB37" w:rsidR="00051088" w:rsidRDefault="00000000" w:rsidP="00B95900">
      <w:pPr>
        <w:rPr>
          <w:sz w:val="24"/>
          <w:szCs w:val="24"/>
          <w:lang w:val="en-ID" w:eastAsia="ja-JP"/>
        </w:rPr>
      </w:pPr>
      <w:r>
        <w:rPr>
          <w:color w:val="000000"/>
          <w:lang w:val="en-ID" w:eastAsia="ja-JP"/>
        </w:rPr>
        <w:t>System prediction modelling (Figure 10) provides a visual summary of the system’s overall predictive performance by plotting predicted versus actual concentrations for all dyes. The regression curves closely follow the ideal 1:1 line, reflecting the strong linearity already indicated in Table II. Red and yellow dyes show tight clustering around the regression line, demonstrating high agreement across the whole concentration range. Blue dye data exhibit slightly wider dispersion, consistent with its lower R² and higher RMSE, but still maintain a clear linear trend.</w:t>
      </w:r>
    </w:p>
    <w:p w14:paraId="37169F46" w14:textId="77777777" w:rsidR="00051088" w:rsidRDefault="00000000" w:rsidP="00B95900">
      <w:pPr>
        <w:rPr>
          <w:sz w:val="24"/>
          <w:szCs w:val="24"/>
          <w:lang w:val="en-ID" w:eastAsia="ja-JP"/>
        </w:rPr>
      </w:pPr>
      <w:r>
        <w:rPr>
          <w:color w:val="000000"/>
          <w:lang w:val="en-ID" w:eastAsia="ja-JP"/>
        </w:rPr>
        <w:t>The combined plots illustrate how the multivariate regression model generalizes across different colorimetric responses, confirming that the RGB-to-CIELAB transformation and illumination-controlled setup produce stable predictions suitable for portable analysis.</w:t>
      </w:r>
    </w:p>
    <w:p w14:paraId="79E910F9" w14:textId="77777777" w:rsidR="00051088" w:rsidRDefault="00000000" w:rsidP="0057198C">
      <w:pPr>
        <w:pStyle w:val="Heading2"/>
        <w:numPr>
          <w:ilvl w:val="0"/>
          <w:numId w:val="15"/>
        </w:numPr>
        <w:ind w:left="357" w:hanging="357"/>
        <w:rPr>
          <w:color w:val="000000" w:themeColor="dark1"/>
          <w:lang w:val="en-US"/>
        </w:rPr>
      </w:pPr>
      <w:r>
        <w:rPr>
          <w:color w:val="000000" w:themeColor="dark1"/>
        </w:rPr>
        <w:t>Comparative Reference Validation</w:t>
      </w:r>
    </w:p>
    <w:p w14:paraId="2BE3A2EB" w14:textId="77777777" w:rsidR="00051088" w:rsidRDefault="00000000" w:rsidP="00B95900">
      <w:pPr>
        <w:rPr>
          <w:sz w:val="24"/>
          <w:szCs w:val="24"/>
          <w:lang w:val="en-ID" w:eastAsia="ja-JP"/>
        </w:rPr>
      </w:pPr>
      <w:r>
        <w:rPr>
          <w:color w:val="000000"/>
          <w:lang w:val="en-ID" w:eastAsia="ja-JP"/>
        </w:rPr>
        <w:t>Table III compares Colorizer’s performance with the linear calibration fits from the reference spectrophotometer. This comparison determines whether the smartphone-based system exhibits the same concentration–absorbance performance as a laboratory-grade instrument.</w:t>
      </w:r>
    </w:p>
    <w:p w14:paraId="6F7BDA33" w14:textId="77777777" w:rsidR="00051088" w:rsidRDefault="00000000" w:rsidP="00B95900">
      <w:pPr>
        <w:rPr>
          <w:sz w:val="24"/>
          <w:szCs w:val="24"/>
          <w:lang w:val="en-ID" w:eastAsia="ja-JP"/>
        </w:rPr>
      </w:pPr>
      <w:r>
        <w:rPr>
          <w:color w:val="000000"/>
          <w:lang w:val="en-ID" w:eastAsia="ja-JP"/>
        </w:rPr>
        <w:t>Figure 11 visually reinforces these trends by showing the regression lines for both devices across the red, yellow, and blue assays. Red and yellow dyes displayed near</w:t>
      </w:r>
      <w:r>
        <w:rPr>
          <w:color w:val="000000"/>
          <w:lang w:val="en-ID" w:eastAsia="ja-JP"/>
        </w:rPr>
        <w:noBreakHyphen/>
        <w:t xml:space="preserve">identical linearity between Colorizer and the spectrophotometer, with only minor deviations at higher concentrations. Blue dye measurements showed slightly larger dispersion yet maintained a consistent slope aligned with the reference curve. Together, Table III and Figure 11 confirm that Colorizer produces concentration predictions that are not only internally accurate but externally consistent with established spectrophotometric </w:t>
      </w:r>
      <w:proofErr w:type="spellStart"/>
      <w:r>
        <w:rPr>
          <w:color w:val="000000"/>
          <w:lang w:val="en-ID" w:eastAsia="ja-JP"/>
        </w:rPr>
        <w:t>behavior</w:t>
      </w:r>
      <w:proofErr w:type="spellEnd"/>
      <w:r>
        <w:rPr>
          <w:color w:val="000000"/>
          <w:lang w:val="en-ID" w:eastAsia="ja-JP"/>
        </w:rPr>
        <w:t>.</w:t>
      </w:r>
    </w:p>
    <w:p w14:paraId="7D6ED6CD" w14:textId="77777777" w:rsidR="00051088" w:rsidRDefault="00000000" w:rsidP="00B95900">
      <w:pPr>
        <w:rPr>
          <w:color w:val="000000"/>
          <w:lang w:val="en-ID" w:eastAsia="ja-JP"/>
        </w:rPr>
      </w:pPr>
      <w:r>
        <w:rPr>
          <w:color w:val="000000"/>
          <w:lang w:val="en-ID" w:eastAsia="ja-JP"/>
        </w:rPr>
        <w:t>These findings show that the controlled illumination chamber and CIELAB-based regression framework effectively minimize typical smartphone-related variability. The agreement with standard spectrophotometer curves enhances Colorizer’s credibility as a portable analytical tool capable of approximating lab-grade measurements.</w:t>
      </w:r>
    </w:p>
    <w:p w14:paraId="5F527FA2" w14:textId="77777777" w:rsidR="00B95900" w:rsidRDefault="00B95900" w:rsidP="00B95900">
      <w:pPr>
        <w:rPr>
          <w:color w:val="000000"/>
          <w:lang w:val="en-ID" w:eastAsia="ja-JP"/>
        </w:rPr>
      </w:pPr>
    </w:p>
    <w:p w14:paraId="4D7AA392" w14:textId="77777777" w:rsidR="00334F2D" w:rsidRDefault="00334F2D" w:rsidP="00334F2D">
      <w:pPr>
        <w:ind w:firstLine="0"/>
        <w:jc w:val="center"/>
        <w:rPr>
          <w:sz w:val="24"/>
          <w:szCs w:val="24"/>
          <w:lang w:val="en-ID" w:eastAsia="ja-JP"/>
        </w:rPr>
      </w:pPr>
      <w:r>
        <w:rPr>
          <w:smallCaps/>
          <w:color w:val="000000"/>
          <w:sz w:val="16"/>
          <w:szCs w:val="16"/>
          <w:lang w:val="en-ID" w:eastAsia="ja-JP"/>
        </w:rPr>
        <w:t>Table III</w:t>
      </w:r>
    </w:p>
    <w:p w14:paraId="74E1F21A" w14:textId="77777777" w:rsidR="00334F2D" w:rsidRDefault="00334F2D" w:rsidP="00302E85">
      <w:pPr>
        <w:ind w:firstLine="0"/>
        <w:jc w:val="center"/>
        <w:rPr>
          <w:sz w:val="24"/>
          <w:szCs w:val="24"/>
          <w:lang w:val="en-ID" w:eastAsia="ja-JP"/>
        </w:rPr>
      </w:pPr>
      <w:r>
        <w:rPr>
          <w:smallCaps/>
          <w:color w:val="000000"/>
          <w:sz w:val="16"/>
          <w:szCs w:val="16"/>
          <w:lang w:val="en-ID" w:eastAsia="ja-JP"/>
        </w:rPr>
        <w:t>performance metrics comparison</w:t>
      </w:r>
    </w:p>
    <w:tbl>
      <w:tblPr>
        <w:tblW w:w="4394" w:type="dxa"/>
        <w:jc w:val="center"/>
        <w:tblLayout w:type="fixed"/>
        <w:tblLook w:val="04A0" w:firstRow="1" w:lastRow="0" w:firstColumn="1" w:lastColumn="0" w:noHBand="0" w:noVBand="1"/>
      </w:tblPr>
      <w:tblGrid>
        <w:gridCol w:w="1482"/>
        <w:gridCol w:w="786"/>
        <w:gridCol w:w="709"/>
        <w:gridCol w:w="709"/>
        <w:gridCol w:w="708"/>
      </w:tblGrid>
      <w:tr w:rsidR="00334F2D" w14:paraId="182E8F0E" w14:textId="77777777" w:rsidTr="00A7427B">
        <w:trPr>
          <w:trHeight w:val="142"/>
          <w:jc w:val="center"/>
        </w:trPr>
        <w:tc>
          <w:tcPr>
            <w:tcW w:w="1482" w:type="dxa"/>
            <w:tcBorders>
              <w:top w:val="single" w:sz="4" w:space="0" w:color="000000"/>
              <w:left w:val="single" w:sz="4" w:space="0" w:color="000000"/>
              <w:bottom w:val="single" w:sz="4" w:space="0" w:color="000000"/>
              <w:right w:val="single" w:sz="4" w:space="0" w:color="000000"/>
            </w:tcBorders>
            <w:vAlign w:val="center"/>
          </w:tcPr>
          <w:p w14:paraId="1B11B606" w14:textId="77777777" w:rsidR="00334F2D" w:rsidRDefault="00334F2D" w:rsidP="00A7427B">
            <w:pPr>
              <w:ind w:firstLine="0"/>
              <w:jc w:val="center"/>
              <w:rPr>
                <w:b/>
                <w:sz w:val="16"/>
                <w:szCs w:val="16"/>
                <w:lang w:val="en-US"/>
              </w:rPr>
            </w:pPr>
            <w:r>
              <w:rPr>
                <w:b/>
                <w:sz w:val="16"/>
                <w:szCs w:val="16"/>
                <w:lang w:val="en-US"/>
              </w:rPr>
              <w:t>Device</w:t>
            </w:r>
          </w:p>
        </w:tc>
        <w:tc>
          <w:tcPr>
            <w:tcW w:w="786" w:type="dxa"/>
            <w:tcBorders>
              <w:top w:val="single" w:sz="4" w:space="0" w:color="000000"/>
              <w:left w:val="single" w:sz="4" w:space="0" w:color="000000"/>
              <w:bottom w:val="single" w:sz="4" w:space="0" w:color="000000"/>
              <w:right w:val="single" w:sz="4" w:space="0" w:color="000000"/>
            </w:tcBorders>
            <w:vAlign w:val="center"/>
          </w:tcPr>
          <w:p w14:paraId="1180D149" w14:textId="77777777" w:rsidR="00334F2D" w:rsidRDefault="00334F2D" w:rsidP="00A7427B">
            <w:pPr>
              <w:ind w:firstLine="0"/>
              <w:jc w:val="center"/>
              <w:rPr>
                <w:b/>
                <w:sz w:val="16"/>
                <w:szCs w:val="16"/>
                <w:vertAlign w:val="superscript"/>
                <w:lang w:val="en-US"/>
              </w:rPr>
            </w:pPr>
            <w:r>
              <w:rPr>
                <w:b/>
                <w:sz w:val="16"/>
                <w:szCs w:val="16"/>
                <w:lang w:val="en-US"/>
              </w:rPr>
              <w:t>Metric</w:t>
            </w:r>
          </w:p>
        </w:tc>
        <w:tc>
          <w:tcPr>
            <w:tcW w:w="709" w:type="dxa"/>
            <w:tcBorders>
              <w:top w:val="single" w:sz="4" w:space="0" w:color="000000"/>
              <w:left w:val="single" w:sz="4" w:space="0" w:color="000000"/>
              <w:bottom w:val="single" w:sz="4" w:space="0" w:color="000000"/>
              <w:right w:val="single" w:sz="4" w:space="0" w:color="000000"/>
            </w:tcBorders>
            <w:vAlign w:val="center"/>
          </w:tcPr>
          <w:p w14:paraId="15E98D7A" w14:textId="77777777" w:rsidR="00334F2D" w:rsidRDefault="00334F2D" w:rsidP="00A7427B">
            <w:pPr>
              <w:ind w:firstLine="0"/>
              <w:jc w:val="center"/>
              <w:rPr>
                <w:b/>
                <w:sz w:val="16"/>
                <w:szCs w:val="16"/>
                <w:lang w:val="en-US"/>
              </w:rPr>
            </w:pPr>
            <w:r>
              <w:rPr>
                <w:b/>
                <w:sz w:val="16"/>
                <w:szCs w:val="16"/>
                <w:lang w:val="en-US"/>
              </w:rPr>
              <w:t>Red</w:t>
            </w:r>
          </w:p>
        </w:tc>
        <w:tc>
          <w:tcPr>
            <w:tcW w:w="709" w:type="dxa"/>
            <w:tcBorders>
              <w:top w:val="single" w:sz="4" w:space="0" w:color="000000"/>
              <w:left w:val="single" w:sz="4" w:space="0" w:color="000000"/>
              <w:bottom w:val="single" w:sz="4" w:space="0" w:color="000000"/>
              <w:right w:val="single" w:sz="4" w:space="0" w:color="000000"/>
            </w:tcBorders>
            <w:vAlign w:val="center"/>
          </w:tcPr>
          <w:p w14:paraId="3BE53E63" w14:textId="77777777" w:rsidR="00334F2D" w:rsidRDefault="00334F2D" w:rsidP="00A7427B">
            <w:pPr>
              <w:ind w:firstLine="0"/>
              <w:jc w:val="center"/>
              <w:rPr>
                <w:b/>
                <w:sz w:val="16"/>
                <w:szCs w:val="16"/>
                <w:lang w:val="en-US"/>
              </w:rPr>
            </w:pPr>
            <w:r>
              <w:rPr>
                <w:b/>
                <w:sz w:val="16"/>
                <w:szCs w:val="16"/>
                <w:lang w:val="en-US"/>
              </w:rPr>
              <w:t>Yellow</w:t>
            </w:r>
          </w:p>
        </w:tc>
        <w:tc>
          <w:tcPr>
            <w:tcW w:w="708" w:type="dxa"/>
            <w:tcBorders>
              <w:top w:val="single" w:sz="4" w:space="0" w:color="000000"/>
              <w:left w:val="single" w:sz="4" w:space="0" w:color="000000"/>
              <w:bottom w:val="single" w:sz="4" w:space="0" w:color="000000"/>
              <w:right w:val="single" w:sz="4" w:space="0" w:color="000000"/>
            </w:tcBorders>
            <w:vAlign w:val="center"/>
          </w:tcPr>
          <w:p w14:paraId="6497373A" w14:textId="77777777" w:rsidR="00334F2D" w:rsidRDefault="00334F2D" w:rsidP="00A7427B">
            <w:pPr>
              <w:ind w:firstLine="0"/>
              <w:jc w:val="center"/>
              <w:rPr>
                <w:b/>
                <w:sz w:val="16"/>
                <w:szCs w:val="16"/>
                <w:lang w:val="en-US"/>
              </w:rPr>
            </w:pPr>
            <w:r>
              <w:rPr>
                <w:b/>
                <w:sz w:val="16"/>
                <w:szCs w:val="16"/>
                <w:lang w:val="en-US"/>
              </w:rPr>
              <w:t>Blue</w:t>
            </w:r>
          </w:p>
        </w:tc>
      </w:tr>
      <w:tr w:rsidR="00334F2D" w14:paraId="3B1BFED8" w14:textId="77777777" w:rsidTr="00A7427B">
        <w:trPr>
          <w:trHeight w:val="269"/>
          <w:jc w:val="center"/>
        </w:trPr>
        <w:tc>
          <w:tcPr>
            <w:tcW w:w="1482" w:type="dxa"/>
            <w:tcBorders>
              <w:top w:val="single" w:sz="4" w:space="0" w:color="000000"/>
              <w:left w:val="single" w:sz="4" w:space="0" w:color="000000"/>
              <w:bottom w:val="single" w:sz="4" w:space="0" w:color="000000"/>
              <w:right w:val="single" w:sz="4" w:space="0" w:color="000000"/>
            </w:tcBorders>
            <w:vAlign w:val="center"/>
          </w:tcPr>
          <w:p w14:paraId="4D32BD8A" w14:textId="77777777" w:rsidR="00334F2D" w:rsidRDefault="00334F2D" w:rsidP="00A7427B">
            <w:pPr>
              <w:ind w:firstLine="0"/>
              <w:jc w:val="left"/>
              <w:rPr>
                <w:sz w:val="16"/>
                <w:szCs w:val="16"/>
                <w:lang w:val="en-US"/>
              </w:rPr>
            </w:pPr>
            <w:r>
              <w:rPr>
                <w:sz w:val="16"/>
                <w:szCs w:val="16"/>
                <w:lang w:val="en-US"/>
              </w:rPr>
              <w:t>Spectrophotometer</w:t>
            </w:r>
          </w:p>
        </w:tc>
        <w:tc>
          <w:tcPr>
            <w:tcW w:w="786" w:type="dxa"/>
            <w:tcBorders>
              <w:top w:val="single" w:sz="4" w:space="0" w:color="000000"/>
              <w:left w:val="single" w:sz="4" w:space="0" w:color="000000"/>
              <w:bottom w:val="single" w:sz="4" w:space="0" w:color="000000"/>
              <w:right w:val="single" w:sz="4" w:space="0" w:color="000000"/>
            </w:tcBorders>
            <w:vAlign w:val="center"/>
          </w:tcPr>
          <w:p w14:paraId="2E9E2C7A" w14:textId="77777777" w:rsidR="00334F2D" w:rsidRDefault="00334F2D" w:rsidP="00A7427B">
            <w:pPr>
              <w:ind w:firstLine="0"/>
              <w:jc w:val="left"/>
              <w:rPr>
                <w:sz w:val="16"/>
                <w:szCs w:val="16"/>
                <w:vertAlign w:val="superscript"/>
                <w:lang w:val="en-US"/>
              </w:rPr>
            </w:pPr>
            <w:r>
              <w:rPr>
                <w:sz w:val="16"/>
                <w:szCs w:val="16"/>
                <w:lang w:val="en-US"/>
              </w:rPr>
              <w:t>R</w:t>
            </w:r>
            <w:r>
              <w:rPr>
                <w:sz w:val="16"/>
                <w:szCs w:val="16"/>
                <w:vertAlign w:val="superscript"/>
                <w:lang w:val="en-US"/>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51D19E4" w14:textId="77777777" w:rsidR="00334F2D" w:rsidRDefault="00334F2D" w:rsidP="00A7427B">
            <w:pPr>
              <w:ind w:firstLine="0"/>
              <w:jc w:val="left"/>
              <w:rPr>
                <w:sz w:val="16"/>
                <w:szCs w:val="16"/>
                <w:lang w:val="en-US"/>
              </w:rPr>
            </w:pPr>
            <w:r>
              <w:rPr>
                <w:sz w:val="16"/>
                <w:szCs w:val="16"/>
                <w:lang w:val="en-US"/>
              </w:rPr>
              <w:t>1.00</w:t>
            </w:r>
          </w:p>
        </w:tc>
        <w:tc>
          <w:tcPr>
            <w:tcW w:w="709" w:type="dxa"/>
            <w:tcBorders>
              <w:top w:val="single" w:sz="4" w:space="0" w:color="000000"/>
              <w:left w:val="single" w:sz="4" w:space="0" w:color="000000"/>
              <w:bottom w:val="single" w:sz="4" w:space="0" w:color="000000"/>
              <w:right w:val="single" w:sz="4" w:space="0" w:color="000000"/>
            </w:tcBorders>
            <w:vAlign w:val="center"/>
          </w:tcPr>
          <w:p w14:paraId="487703F0" w14:textId="77777777" w:rsidR="00334F2D" w:rsidRDefault="00334F2D" w:rsidP="00A7427B">
            <w:pPr>
              <w:ind w:firstLine="0"/>
              <w:jc w:val="left"/>
              <w:rPr>
                <w:sz w:val="16"/>
                <w:szCs w:val="16"/>
                <w:lang w:val="en-US"/>
              </w:rPr>
            </w:pPr>
            <w:r>
              <w:rPr>
                <w:sz w:val="16"/>
                <w:szCs w:val="16"/>
                <w:lang w:val="en-US"/>
              </w:rPr>
              <w:t>0.984</w:t>
            </w:r>
          </w:p>
        </w:tc>
        <w:tc>
          <w:tcPr>
            <w:tcW w:w="708" w:type="dxa"/>
            <w:tcBorders>
              <w:top w:val="single" w:sz="4" w:space="0" w:color="000000"/>
              <w:left w:val="single" w:sz="4" w:space="0" w:color="000000"/>
              <w:bottom w:val="single" w:sz="4" w:space="0" w:color="000000"/>
              <w:right w:val="single" w:sz="4" w:space="0" w:color="000000"/>
            </w:tcBorders>
            <w:vAlign w:val="center"/>
          </w:tcPr>
          <w:p w14:paraId="18DEEC4D" w14:textId="77777777" w:rsidR="00334F2D" w:rsidRDefault="00334F2D" w:rsidP="00A7427B">
            <w:pPr>
              <w:ind w:firstLine="0"/>
              <w:jc w:val="left"/>
              <w:rPr>
                <w:sz w:val="16"/>
                <w:szCs w:val="16"/>
                <w:lang w:val="en-US"/>
              </w:rPr>
            </w:pPr>
            <w:r>
              <w:rPr>
                <w:sz w:val="16"/>
                <w:szCs w:val="16"/>
                <w:lang w:val="en-US"/>
              </w:rPr>
              <w:t>0.987</w:t>
            </w:r>
          </w:p>
        </w:tc>
      </w:tr>
      <w:tr w:rsidR="00334F2D" w14:paraId="06D0DF9A" w14:textId="77777777" w:rsidTr="00A7427B">
        <w:trPr>
          <w:trHeight w:val="269"/>
          <w:jc w:val="center"/>
        </w:trPr>
        <w:tc>
          <w:tcPr>
            <w:tcW w:w="1482" w:type="dxa"/>
            <w:tcBorders>
              <w:top w:val="single" w:sz="4" w:space="0" w:color="000000"/>
              <w:left w:val="single" w:sz="4" w:space="0" w:color="000000"/>
              <w:bottom w:val="single" w:sz="4" w:space="0" w:color="000000"/>
              <w:right w:val="single" w:sz="4" w:space="0" w:color="000000"/>
            </w:tcBorders>
            <w:vAlign w:val="center"/>
          </w:tcPr>
          <w:p w14:paraId="3C0C7923" w14:textId="77777777" w:rsidR="00334F2D" w:rsidRDefault="00334F2D" w:rsidP="00A7427B">
            <w:pPr>
              <w:ind w:firstLine="0"/>
              <w:jc w:val="left"/>
              <w:rPr>
                <w:sz w:val="16"/>
                <w:szCs w:val="16"/>
                <w:lang w:val="en-US"/>
              </w:rPr>
            </w:pPr>
            <w:r>
              <w:rPr>
                <w:sz w:val="16"/>
                <w:szCs w:val="16"/>
                <w:lang w:val="en-US"/>
              </w:rPr>
              <w:t>Colorizer App</w:t>
            </w:r>
          </w:p>
        </w:tc>
        <w:tc>
          <w:tcPr>
            <w:tcW w:w="786" w:type="dxa"/>
            <w:tcBorders>
              <w:top w:val="single" w:sz="4" w:space="0" w:color="000000"/>
              <w:left w:val="single" w:sz="4" w:space="0" w:color="000000"/>
              <w:bottom w:val="single" w:sz="4" w:space="0" w:color="000000"/>
              <w:right w:val="single" w:sz="4" w:space="0" w:color="000000"/>
            </w:tcBorders>
            <w:vAlign w:val="center"/>
          </w:tcPr>
          <w:p w14:paraId="4590174B" w14:textId="77777777" w:rsidR="00334F2D" w:rsidRDefault="00334F2D" w:rsidP="00A7427B">
            <w:pPr>
              <w:ind w:firstLine="0"/>
              <w:jc w:val="left"/>
              <w:rPr>
                <w:sz w:val="16"/>
                <w:szCs w:val="16"/>
                <w:lang w:val="en-US"/>
              </w:rPr>
            </w:pPr>
            <w:r>
              <w:rPr>
                <w:sz w:val="16"/>
                <w:szCs w:val="16"/>
                <w:lang w:val="en-US"/>
              </w:rPr>
              <w:t>R</w:t>
            </w:r>
            <w:r>
              <w:rPr>
                <w:sz w:val="16"/>
                <w:szCs w:val="16"/>
                <w:vertAlign w:val="superscript"/>
                <w:lang w:val="en-US"/>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DA8172" w14:textId="77777777" w:rsidR="00334F2D" w:rsidRDefault="00334F2D" w:rsidP="00A7427B">
            <w:pPr>
              <w:ind w:firstLine="0"/>
              <w:jc w:val="left"/>
              <w:rPr>
                <w:sz w:val="16"/>
                <w:szCs w:val="16"/>
                <w:lang w:val="en-US"/>
              </w:rPr>
            </w:pPr>
            <w:r>
              <w:rPr>
                <w:sz w:val="16"/>
                <w:szCs w:val="16"/>
                <w:lang w:val="en-US"/>
              </w:rPr>
              <w:t>0.995</w:t>
            </w:r>
          </w:p>
        </w:tc>
        <w:tc>
          <w:tcPr>
            <w:tcW w:w="709" w:type="dxa"/>
            <w:tcBorders>
              <w:top w:val="single" w:sz="4" w:space="0" w:color="000000"/>
              <w:left w:val="single" w:sz="4" w:space="0" w:color="000000"/>
              <w:bottom w:val="single" w:sz="4" w:space="0" w:color="000000"/>
              <w:right w:val="single" w:sz="4" w:space="0" w:color="000000"/>
            </w:tcBorders>
            <w:vAlign w:val="center"/>
          </w:tcPr>
          <w:p w14:paraId="30A4CD27" w14:textId="77777777" w:rsidR="00334F2D" w:rsidRDefault="00334F2D" w:rsidP="00A7427B">
            <w:pPr>
              <w:ind w:firstLine="0"/>
              <w:jc w:val="left"/>
              <w:rPr>
                <w:sz w:val="16"/>
                <w:szCs w:val="16"/>
                <w:lang w:val="en-US"/>
              </w:rPr>
            </w:pPr>
            <w:r>
              <w:rPr>
                <w:sz w:val="16"/>
                <w:szCs w:val="16"/>
                <w:lang w:val="en-US"/>
              </w:rPr>
              <w:t>0.982</w:t>
            </w:r>
          </w:p>
        </w:tc>
        <w:tc>
          <w:tcPr>
            <w:tcW w:w="708" w:type="dxa"/>
            <w:tcBorders>
              <w:top w:val="single" w:sz="4" w:space="0" w:color="000000"/>
              <w:left w:val="single" w:sz="4" w:space="0" w:color="000000"/>
              <w:bottom w:val="single" w:sz="4" w:space="0" w:color="000000"/>
              <w:right w:val="single" w:sz="4" w:space="0" w:color="000000"/>
            </w:tcBorders>
            <w:vAlign w:val="center"/>
          </w:tcPr>
          <w:p w14:paraId="3D5F29BC" w14:textId="77777777" w:rsidR="00334F2D" w:rsidRDefault="00334F2D" w:rsidP="00A7427B">
            <w:pPr>
              <w:ind w:firstLine="0"/>
              <w:jc w:val="left"/>
              <w:rPr>
                <w:sz w:val="16"/>
                <w:szCs w:val="16"/>
                <w:lang w:val="en-US"/>
              </w:rPr>
            </w:pPr>
            <w:r>
              <w:rPr>
                <w:sz w:val="16"/>
                <w:szCs w:val="16"/>
                <w:lang w:val="en-US"/>
              </w:rPr>
              <w:t>0.932</w:t>
            </w:r>
          </w:p>
        </w:tc>
      </w:tr>
    </w:tbl>
    <w:p w14:paraId="161EC34E" w14:textId="77777777" w:rsidR="00334F2D" w:rsidRDefault="00334F2D" w:rsidP="00334F2D">
      <w:pPr>
        <w:ind w:firstLine="360"/>
        <w:rPr>
          <w:color w:val="000000"/>
          <w:lang w:val="en-ID" w:eastAsia="ja-JP"/>
        </w:rPr>
      </w:pPr>
    </w:p>
    <w:p w14:paraId="344642ED" w14:textId="77777777" w:rsidR="00334F2D" w:rsidRDefault="00334F2D" w:rsidP="00334F2D">
      <w:pPr>
        <w:ind w:firstLine="0"/>
        <w:rPr>
          <w:sz w:val="24"/>
          <w:szCs w:val="24"/>
          <w:lang w:val="en-ID" w:eastAsia="ja-JP"/>
        </w:rPr>
      </w:pPr>
      <w:r>
        <w:rPr>
          <w:noProof/>
        </w:rPr>
        <w:drawing>
          <wp:inline distT="0" distB="0" distL="0" distR="0" wp14:anchorId="5012D3C4" wp14:editId="7D52E7C2">
            <wp:extent cx="2874010" cy="1371600"/>
            <wp:effectExtent l="0" t="0" r="0" b="0"/>
            <wp:docPr id="14" name="Picture 15" descr="A graph of colorizer and spectrophotom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descr="A graph of colorizer and spectrophotometer&#10;&#10;AI-generated content may be incorrect."/>
                    <pic:cNvPicPr>
                      <a:picLocks noChangeAspect="1" noChangeArrowheads="1"/>
                    </pic:cNvPicPr>
                  </pic:nvPicPr>
                  <pic:blipFill>
                    <a:blip r:embed="rId27"/>
                    <a:stretch>
                      <a:fillRect/>
                    </a:stretch>
                  </pic:blipFill>
                  <pic:spPr bwMode="auto">
                    <a:xfrm>
                      <a:off x="0" y="0"/>
                      <a:ext cx="2874010" cy="1371600"/>
                    </a:xfrm>
                    <a:prstGeom prst="rect">
                      <a:avLst/>
                    </a:prstGeom>
                  </pic:spPr>
                </pic:pic>
              </a:graphicData>
            </a:graphic>
          </wp:inline>
        </w:drawing>
      </w:r>
    </w:p>
    <w:p w14:paraId="06824EB9" w14:textId="77777777" w:rsidR="00334F2D" w:rsidRDefault="00334F2D" w:rsidP="00334F2D">
      <w:pPr>
        <w:spacing w:before="120" w:after="240"/>
        <w:ind w:firstLine="0"/>
        <w:jc w:val="center"/>
        <w:rPr>
          <w:color w:val="000000"/>
          <w:sz w:val="16"/>
          <w:szCs w:val="16"/>
          <w:lang w:val="en-ID" w:eastAsia="ja-JP"/>
        </w:rPr>
      </w:pPr>
      <w:r>
        <w:rPr>
          <w:color w:val="000000"/>
          <w:sz w:val="16"/>
          <w:szCs w:val="16"/>
          <w:lang w:val="en-ID" w:eastAsia="ja-JP"/>
        </w:rPr>
        <w:t xml:space="preserve">Figure 11. Colorizer vs </w:t>
      </w:r>
      <w:r w:rsidRPr="006552A1">
        <w:rPr>
          <w:color w:val="000000"/>
          <w:sz w:val="16"/>
          <w:szCs w:val="16"/>
          <w:lang w:val="en-ID" w:eastAsia="ja-JP"/>
        </w:rPr>
        <w:t>spectrophotometer results comparison for each dye</w:t>
      </w:r>
      <w:r>
        <w:rPr>
          <w:color w:val="000000"/>
          <w:sz w:val="16"/>
          <w:szCs w:val="16"/>
          <w:lang w:val="en-ID" w:eastAsia="ja-JP"/>
        </w:rPr>
        <w:t xml:space="preserve">. </w:t>
      </w:r>
    </w:p>
    <w:p w14:paraId="3CA67AF6" w14:textId="77777777" w:rsidR="00334F2D" w:rsidRDefault="00334F2D" w:rsidP="00334F2D">
      <w:pPr>
        <w:pStyle w:val="TableHeading"/>
        <w:rPr>
          <w:lang w:val="id-ID"/>
        </w:rPr>
      </w:pPr>
      <w:r>
        <w:rPr>
          <w:rFonts w:eastAsia="PMingLiU"/>
          <w:lang w:val="id-ID"/>
        </w:rPr>
        <w:lastRenderedPageBreak/>
        <w:t>Tabel 1V</w:t>
      </w:r>
    </w:p>
    <w:p w14:paraId="59C80F6D" w14:textId="77777777" w:rsidR="00334F2D" w:rsidRDefault="00334F2D" w:rsidP="00302E85">
      <w:pPr>
        <w:pStyle w:val="TableHeading"/>
        <w:rPr>
          <w:lang w:val="en-US"/>
        </w:rPr>
      </w:pPr>
      <w:r>
        <w:rPr>
          <w:lang w:val="en-US"/>
        </w:rPr>
        <w:t>cross-device calibration testing</w:t>
      </w:r>
    </w:p>
    <w:tbl>
      <w:tblPr>
        <w:tblW w:w="4554" w:type="dxa"/>
        <w:jc w:val="center"/>
        <w:tblLayout w:type="fixed"/>
        <w:tblLook w:val="04A0" w:firstRow="1" w:lastRow="0" w:firstColumn="1" w:lastColumn="0" w:noHBand="0" w:noVBand="1"/>
      </w:tblPr>
      <w:tblGrid>
        <w:gridCol w:w="664"/>
        <w:gridCol w:w="749"/>
        <w:gridCol w:w="709"/>
        <w:gridCol w:w="850"/>
        <w:gridCol w:w="796"/>
        <w:gridCol w:w="786"/>
      </w:tblGrid>
      <w:tr w:rsidR="00334F2D" w14:paraId="02B3D278" w14:textId="77777777" w:rsidTr="00A7427B">
        <w:trPr>
          <w:trHeight w:val="135"/>
          <w:jc w:val="center"/>
        </w:trPr>
        <w:tc>
          <w:tcPr>
            <w:tcW w:w="664" w:type="dxa"/>
            <w:vMerge w:val="restart"/>
            <w:tcBorders>
              <w:top w:val="single" w:sz="4" w:space="0" w:color="000000"/>
              <w:left w:val="single" w:sz="4" w:space="0" w:color="000000"/>
              <w:bottom w:val="single" w:sz="4" w:space="0" w:color="000000"/>
              <w:right w:val="single" w:sz="4" w:space="0" w:color="000000"/>
            </w:tcBorders>
            <w:vAlign w:val="center"/>
          </w:tcPr>
          <w:p w14:paraId="6B049D30" w14:textId="77777777" w:rsidR="00334F2D" w:rsidRDefault="00334F2D" w:rsidP="00250656">
            <w:pPr>
              <w:ind w:firstLine="0"/>
              <w:jc w:val="left"/>
              <w:rPr>
                <w:b/>
                <w:sz w:val="16"/>
                <w:szCs w:val="16"/>
                <w:lang w:val="en-US"/>
              </w:rPr>
            </w:pPr>
            <w:r>
              <w:rPr>
                <w:b/>
                <w:sz w:val="16"/>
                <w:szCs w:val="16"/>
                <w:lang w:val="en-US"/>
              </w:rPr>
              <w:t>Dye Color</w:t>
            </w:r>
          </w:p>
        </w:tc>
        <w:tc>
          <w:tcPr>
            <w:tcW w:w="3890" w:type="dxa"/>
            <w:gridSpan w:val="5"/>
            <w:tcBorders>
              <w:top w:val="single" w:sz="4" w:space="0" w:color="000000"/>
              <w:left w:val="single" w:sz="4" w:space="0" w:color="000000"/>
              <w:bottom w:val="single" w:sz="4" w:space="0" w:color="000000"/>
              <w:right w:val="single" w:sz="4" w:space="0" w:color="000000"/>
            </w:tcBorders>
          </w:tcPr>
          <w:p w14:paraId="2B0F3D6A" w14:textId="77777777" w:rsidR="00334F2D" w:rsidRDefault="00334F2D" w:rsidP="00250656">
            <w:pPr>
              <w:ind w:firstLine="0"/>
              <w:jc w:val="center"/>
              <w:rPr>
                <w:b/>
                <w:sz w:val="16"/>
                <w:szCs w:val="16"/>
                <w:lang w:val="en-US"/>
              </w:rPr>
            </w:pPr>
            <w:r>
              <w:rPr>
                <w:b/>
                <w:sz w:val="16"/>
                <w:szCs w:val="16"/>
                <w:lang w:val="en-US"/>
              </w:rPr>
              <w:t>Concentration (%)</w:t>
            </w:r>
          </w:p>
        </w:tc>
      </w:tr>
      <w:tr w:rsidR="00334F2D" w14:paraId="6F99C468" w14:textId="77777777" w:rsidTr="00A7427B">
        <w:trPr>
          <w:trHeight w:val="57"/>
          <w:jc w:val="center"/>
        </w:trPr>
        <w:tc>
          <w:tcPr>
            <w:tcW w:w="664" w:type="dxa"/>
            <w:vMerge/>
            <w:tcBorders>
              <w:top w:val="single" w:sz="4" w:space="0" w:color="000000"/>
              <w:left w:val="single" w:sz="4" w:space="0" w:color="000000"/>
              <w:bottom w:val="single" w:sz="4" w:space="0" w:color="000000"/>
              <w:right w:val="single" w:sz="4" w:space="0" w:color="000000"/>
            </w:tcBorders>
            <w:vAlign w:val="center"/>
          </w:tcPr>
          <w:p w14:paraId="479DF998" w14:textId="77777777" w:rsidR="00334F2D" w:rsidRDefault="00334F2D" w:rsidP="00250656"/>
        </w:tc>
        <w:tc>
          <w:tcPr>
            <w:tcW w:w="749" w:type="dxa"/>
            <w:vMerge w:val="restart"/>
            <w:tcBorders>
              <w:top w:val="single" w:sz="4" w:space="0" w:color="000000"/>
              <w:left w:val="single" w:sz="4" w:space="0" w:color="000000"/>
              <w:bottom w:val="single" w:sz="4" w:space="0" w:color="000000"/>
              <w:right w:val="single" w:sz="4" w:space="0" w:color="000000"/>
            </w:tcBorders>
            <w:vAlign w:val="center"/>
          </w:tcPr>
          <w:p w14:paraId="127D1850" w14:textId="77777777" w:rsidR="00334F2D" w:rsidRDefault="00334F2D" w:rsidP="00250656">
            <w:pPr>
              <w:ind w:firstLine="0"/>
              <w:jc w:val="left"/>
              <w:rPr>
                <w:b/>
                <w:sz w:val="16"/>
                <w:szCs w:val="16"/>
                <w:lang w:val="en-US"/>
              </w:rPr>
            </w:pPr>
            <w:r>
              <w:rPr>
                <w:b/>
                <w:sz w:val="16"/>
                <w:szCs w:val="16"/>
                <w:lang w:val="en-US"/>
              </w:rPr>
              <w:t>Actual</w:t>
            </w:r>
          </w:p>
        </w:tc>
        <w:tc>
          <w:tcPr>
            <w:tcW w:w="1559" w:type="dxa"/>
            <w:gridSpan w:val="2"/>
            <w:tcBorders>
              <w:top w:val="single" w:sz="4" w:space="0" w:color="000000"/>
              <w:left w:val="single" w:sz="4" w:space="0" w:color="000000"/>
              <w:bottom w:val="single" w:sz="4" w:space="0" w:color="000000"/>
              <w:right w:val="single" w:sz="4" w:space="0" w:color="000000"/>
            </w:tcBorders>
          </w:tcPr>
          <w:p w14:paraId="641A623E" w14:textId="77777777" w:rsidR="00334F2D" w:rsidRDefault="00334F2D" w:rsidP="00250656">
            <w:pPr>
              <w:ind w:firstLine="0"/>
              <w:jc w:val="left"/>
              <w:rPr>
                <w:b/>
                <w:sz w:val="16"/>
                <w:szCs w:val="16"/>
                <w:lang w:val="en-US"/>
              </w:rPr>
            </w:pPr>
            <w:r>
              <w:rPr>
                <w:b/>
                <w:sz w:val="16"/>
                <w:szCs w:val="16"/>
                <w:lang w:val="en-US"/>
              </w:rPr>
              <w:t>Poco F4 GT</w:t>
            </w:r>
          </w:p>
        </w:tc>
        <w:tc>
          <w:tcPr>
            <w:tcW w:w="1582" w:type="dxa"/>
            <w:gridSpan w:val="2"/>
            <w:tcBorders>
              <w:top w:val="single" w:sz="4" w:space="0" w:color="000000"/>
              <w:left w:val="single" w:sz="4" w:space="0" w:color="000000"/>
              <w:bottom w:val="single" w:sz="4" w:space="0" w:color="000000"/>
              <w:right w:val="single" w:sz="4" w:space="0" w:color="000000"/>
            </w:tcBorders>
          </w:tcPr>
          <w:p w14:paraId="6337D2AB" w14:textId="77777777" w:rsidR="00334F2D" w:rsidRDefault="00334F2D" w:rsidP="00250656">
            <w:pPr>
              <w:ind w:firstLine="0"/>
              <w:jc w:val="left"/>
              <w:rPr>
                <w:b/>
                <w:sz w:val="16"/>
                <w:szCs w:val="16"/>
                <w:lang w:val="en-US"/>
              </w:rPr>
            </w:pPr>
            <w:r>
              <w:rPr>
                <w:b/>
                <w:sz w:val="16"/>
                <w:szCs w:val="16"/>
                <w:lang w:val="en-US"/>
              </w:rPr>
              <w:t>Poco X5 5G</w:t>
            </w:r>
          </w:p>
        </w:tc>
      </w:tr>
      <w:tr w:rsidR="00334F2D" w14:paraId="1F050F7F" w14:textId="77777777" w:rsidTr="00A7427B">
        <w:trPr>
          <w:trHeight w:val="57"/>
          <w:jc w:val="center"/>
        </w:trPr>
        <w:tc>
          <w:tcPr>
            <w:tcW w:w="664" w:type="dxa"/>
            <w:vMerge/>
            <w:tcBorders>
              <w:top w:val="single" w:sz="4" w:space="0" w:color="000000"/>
              <w:left w:val="single" w:sz="4" w:space="0" w:color="000000"/>
              <w:bottom w:val="single" w:sz="4" w:space="0" w:color="000000"/>
              <w:right w:val="single" w:sz="4" w:space="0" w:color="000000"/>
            </w:tcBorders>
            <w:vAlign w:val="center"/>
          </w:tcPr>
          <w:p w14:paraId="7910C543" w14:textId="77777777" w:rsidR="00334F2D" w:rsidRDefault="00334F2D" w:rsidP="00250656"/>
        </w:tc>
        <w:tc>
          <w:tcPr>
            <w:tcW w:w="749" w:type="dxa"/>
            <w:vMerge/>
            <w:tcBorders>
              <w:top w:val="single" w:sz="4" w:space="0" w:color="000000"/>
              <w:left w:val="single" w:sz="4" w:space="0" w:color="000000"/>
              <w:bottom w:val="single" w:sz="4" w:space="0" w:color="000000"/>
              <w:right w:val="single" w:sz="4" w:space="0" w:color="000000"/>
            </w:tcBorders>
          </w:tcPr>
          <w:p w14:paraId="136C825F" w14:textId="77777777" w:rsidR="00334F2D" w:rsidRDefault="00334F2D" w:rsidP="00250656"/>
        </w:tc>
        <w:tc>
          <w:tcPr>
            <w:tcW w:w="709" w:type="dxa"/>
            <w:tcBorders>
              <w:top w:val="single" w:sz="4" w:space="0" w:color="000000"/>
              <w:left w:val="single" w:sz="4" w:space="0" w:color="000000"/>
              <w:bottom w:val="single" w:sz="4" w:space="0" w:color="000000"/>
              <w:right w:val="single" w:sz="4" w:space="0" w:color="000000"/>
            </w:tcBorders>
          </w:tcPr>
          <w:p w14:paraId="44D220B2" w14:textId="77777777" w:rsidR="00334F2D" w:rsidRDefault="00334F2D" w:rsidP="00250656">
            <w:pPr>
              <w:ind w:firstLine="0"/>
              <w:jc w:val="left"/>
              <w:rPr>
                <w:b/>
                <w:sz w:val="16"/>
                <w:szCs w:val="16"/>
                <w:lang w:val="en-US"/>
              </w:rPr>
            </w:pPr>
            <w:r>
              <w:rPr>
                <w:b/>
                <w:sz w:val="16"/>
                <w:szCs w:val="16"/>
                <w:lang w:val="en-US"/>
              </w:rPr>
              <w:t>With Station</w:t>
            </w:r>
          </w:p>
        </w:tc>
        <w:tc>
          <w:tcPr>
            <w:tcW w:w="850" w:type="dxa"/>
            <w:tcBorders>
              <w:top w:val="single" w:sz="4" w:space="0" w:color="000000"/>
              <w:left w:val="single" w:sz="4" w:space="0" w:color="000000"/>
              <w:bottom w:val="single" w:sz="4" w:space="0" w:color="000000"/>
              <w:right w:val="single" w:sz="4" w:space="0" w:color="000000"/>
            </w:tcBorders>
          </w:tcPr>
          <w:p w14:paraId="4C3D309E" w14:textId="77777777" w:rsidR="00334F2D" w:rsidRDefault="00334F2D" w:rsidP="00250656">
            <w:pPr>
              <w:ind w:firstLine="0"/>
              <w:jc w:val="left"/>
              <w:rPr>
                <w:b/>
                <w:sz w:val="16"/>
                <w:szCs w:val="16"/>
                <w:lang w:val="en-US"/>
              </w:rPr>
            </w:pPr>
            <w:r>
              <w:rPr>
                <w:b/>
                <w:sz w:val="16"/>
                <w:szCs w:val="16"/>
                <w:lang w:val="en-US"/>
              </w:rPr>
              <w:t>Without Station</w:t>
            </w:r>
          </w:p>
        </w:tc>
        <w:tc>
          <w:tcPr>
            <w:tcW w:w="796" w:type="dxa"/>
            <w:tcBorders>
              <w:top w:val="single" w:sz="4" w:space="0" w:color="000000"/>
              <w:left w:val="single" w:sz="4" w:space="0" w:color="000000"/>
              <w:bottom w:val="single" w:sz="4" w:space="0" w:color="000000"/>
              <w:right w:val="single" w:sz="4" w:space="0" w:color="000000"/>
            </w:tcBorders>
          </w:tcPr>
          <w:p w14:paraId="627F0313" w14:textId="77777777" w:rsidR="00334F2D" w:rsidRDefault="00334F2D" w:rsidP="00250656">
            <w:pPr>
              <w:ind w:firstLine="0"/>
              <w:jc w:val="left"/>
              <w:rPr>
                <w:b/>
                <w:sz w:val="16"/>
                <w:szCs w:val="16"/>
                <w:lang w:val="en-US"/>
              </w:rPr>
            </w:pPr>
            <w:r>
              <w:rPr>
                <w:b/>
                <w:sz w:val="16"/>
                <w:szCs w:val="16"/>
                <w:lang w:val="en-US"/>
              </w:rPr>
              <w:t>With Station</w:t>
            </w:r>
          </w:p>
        </w:tc>
        <w:tc>
          <w:tcPr>
            <w:tcW w:w="786" w:type="dxa"/>
            <w:tcBorders>
              <w:top w:val="single" w:sz="4" w:space="0" w:color="000000"/>
              <w:left w:val="single" w:sz="4" w:space="0" w:color="000000"/>
              <w:bottom w:val="single" w:sz="4" w:space="0" w:color="000000"/>
              <w:right w:val="single" w:sz="4" w:space="0" w:color="000000"/>
            </w:tcBorders>
          </w:tcPr>
          <w:p w14:paraId="3DA5DC66" w14:textId="77777777" w:rsidR="00334F2D" w:rsidRDefault="00334F2D" w:rsidP="00250656">
            <w:pPr>
              <w:ind w:firstLine="0"/>
              <w:jc w:val="left"/>
              <w:rPr>
                <w:b/>
                <w:sz w:val="16"/>
                <w:szCs w:val="16"/>
                <w:lang w:val="en-US"/>
              </w:rPr>
            </w:pPr>
            <w:r>
              <w:rPr>
                <w:b/>
                <w:sz w:val="16"/>
                <w:szCs w:val="16"/>
                <w:lang w:val="en-US"/>
              </w:rPr>
              <w:t>Without Staton</w:t>
            </w:r>
          </w:p>
        </w:tc>
      </w:tr>
      <w:tr w:rsidR="00334F2D" w14:paraId="7065D0BE" w14:textId="77777777" w:rsidTr="00A7427B">
        <w:trPr>
          <w:trHeight w:val="146"/>
          <w:jc w:val="center"/>
        </w:trPr>
        <w:tc>
          <w:tcPr>
            <w:tcW w:w="664" w:type="dxa"/>
            <w:vMerge w:val="restart"/>
            <w:tcBorders>
              <w:top w:val="single" w:sz="4" w:space="0" w:color="000000"/>
              <w:left w:val="single" w:sz="4" w:space="0" w:color="000000"/>
              <w:bottom w:val="single" w:sz="4" w:space="0" w:color="000000"/>
              <w:right w:val="single" w:sz="4" w:space="0" w:color="000000"/>
            </w:tcBorders>
            <w:vAlign w:val="center"/>
          </w:tcPr>
          <w:p w14:paraId="203037D5" w14:textId="77777777" w:rsidR="00334F2D" w:rsidRDefault="00334F2D" w:rsidP="00A7427B">
            <w:pPr>
              <w:ind w:firstLine="0"/>
              <w:jc w:val="left"/>
              <w:rPr>
                <w:sz w:val="16"/>
                <w:szCs w:val="16"/>
                <w:lang w:val="en-US"/>
              </w:rPr>
            </w:pPr>
            <w:r>
              <w:rPr>
                <w:sz w:val="16"/>
                <w:szCs w:val="16"/>
                <w:lang w:val="en-US"/>
              </w:rPr>
              <w:t>Red</w:t>
            </w:r>
          </w:p>
        </w:tc>
        <w:tc>
          <w:tcPr>
            <w:tcW w:w="749" w:type="dxa"/>
            <w:tcBorders>
              <w:top w:val="single" w:sz="4" w:space="0" w:color="000000"/>
              <w:left w:val="single" w:sz="4" w:space="0" w:color="000000"/>
              <w:bottom w:val="single" w:sz="4" w:space="0" w:color="000000"/>
              <w:right w:val="single" w:sz="4" w:space="0" w:color="000000"/>
            </w:tcBorders>
            <w:vAlign w:val="center"/>
          </w:tcPr>
          <w:p w14:paraId="74DA9ECC" w14:textId="77777777" w:rsidR="00334F2D" w:rsidRDefault="00334F2D" w:rsidP="00A7427B">
            <w:pPr>
              <w:ind w:firstLine="0"/>
              <w:jc w:val="left"/>
              <w:rPr>
                <w:sz w:val="16"/>
                <w:szCs w:val="16"/>
                <w:lang w:val="en-US"/>
              </w:rPr>
            </w:pPr>
            <w:r>
              <w:rPr>
                <w:sz w:val="16"/>
                <w:szCs w:val="16"/>
                <w:lang w:val="en-US"/>
              </w:rPr>
              <w:t>30</w:t>
            </w:r>
          </w:p>
        </w:tc>
        <w:tc>
          <w:tcPr>
            <w:tcW w:w="709" w:type="dxa"/>
            <w:tcBorders>
              <w:top w:val="single" w:sz="4" w:space="0" w:color="000000"/>
              <w:left w:val="single" w:sz="4" w:space="0" w:color="000000"/>
              <w:bottom w:val="single" w:sz="4" w:space="0" w:color="000000"/>
              <w:right w:val="single" w:sz="4" w:space="0" w:color="000000"/>
            </w:tcBorders>
            <w:vAlign w:val="center"/>
          </w:tcPr>
          <w:p w14:paraId="020AEFB3" w14:textId="77777777" w:rsidR="00334F2D" w:rsidRDefault="00334F2D" w:rsidP="00A7427B">
            <w:pPr>
              <w:ind w:firstLine="0"/>
              <w:jc w:val="left"/>
              <w:rPr>
                <w:sz w:val="16"/>
                <w:szCs w:val="16"/>
                <w:lang w:val="en-US"/>
              </w:rPr>
            </w:pPr>
            <w:r>
              <w:rPr>
                <w:color w:val="000000"/>
                <w:sz w:val="16"/>
                <w:szCs w:val="16"/>
              </w:rPr>
              <w:t>31.08</w:t>
            </w:r>
          </w:p>
        </w:tc>
        <w:tc>
          <w:tcPr>
            <w:tcW w:w="850" w:type="dxa"/>
            <w:tcBorders>
              <w:top w:val="single" w:sz="4" w:space="0" w:color="000000"/>
              <w:left w:val="single" w:sz="4" w:space="0" w:color="000000"/>
              <w:bottom w:val="single" w:sz="4" w:space="0" w:color="000000"/>
              <w:right w:val="single" w:sz="4" w:space="0" w:color="000000"/>
            </w:tcBorders>
            <w:vAlign w:val="center"/>
          </w:tcPr>
          <w:p w14:paraId="789A559B" w14:textId="77777777" w:rsidR="00334F2D" w:rsidRDefault="00334F2D" w:rsidP="00A7427B">
            <w:pPr>
              <w:ind w:firstLine="0"/>
              <w:jc w:val="left"/>
              <w:rPr>
                <w:sz w:val="16"/>
                <w:szCs w:val="16"/>
                <w:lang w:val="en-US"/>
              </w:rPr>
            </w:pPr>
            <w:r>
              <w:rPr>
                <w:color w:val="000000"/>
                <w:sz w:val="16"/>
                <w:szCs w:val="16"/>
              </w:rPr>
              <w:t>31.62</w:t>
            </w:r>
          </w:p>
        </w:tc>
        <w:tc>
          <w:tcPr>
            <w:tcW w:w="796" w:type="dxa"/>
            <w:tcBorders>
              <w:top w:val="single" w:sz="4" w:space="0" w:color="000000"/>
              <w:left w:val="single" w:sz="4" w:space="0" w:color="000000"/>
              <w:bottom w:val="single" w:sz="4" w:space="0" w:color="000000"/>
              <w:right w:val="single" w:sz="4" w:space="0" w:color="000000"/>
            </w:tcBorders>
            <w:vAlign w:val="center"/>
          </w:tcPr>
          <w:p w14:paraId="53D30243" w14:textId="77777777" w:rsidR="00334F2D" w:rsidRDefault="00334F2D" w:rsidP="00A7427B">
            <w:pPr>
              <w:ind w:firstLine="0"/>
              <w:jc w:val="left"/>
              <w:rPr>
                <w:sz w:val="16"/>
                <w:szCs w:val="16"/>
                <w:lang w:val="en-US"/>
              </w:rPr>
            </w:pPr>
            <w:r>
              <w:rPr>
                <w:color w:val="000000"/>
                <w:sz w:val="16"/>
                <w:szCs w:val="16"/>
              </w:rPr>
              <w:t>32.71</w:t>
            </w:r>
          </w:p>
        </w:tc>
        <w:tc>
          <w:tcPr>
            <w:tcW w:w="786" w:type="dxa"/>
            <w:tcBorders>
              <w:top w:val="single" w:sz="4" w:space="0" w:color="000000"/>
              <w:left w:val="single" w:sz="4" w:space="0" w:color="000000"/>
              <w:bottom w:val="single" w:sz="4" w:space="0" w:color="000000"/>
              <w:right w:val="single" w:sz="4" w:space="0" w:color="000000"/>
            </w:tcBorders>
            <w:vAlign w:val="center"/>
          </w:tcPr>
          <w:p w14:paraId="610AA4EC" w14:textId="77777777" w:rsidR="00334F2D" w:rsidRDefault="00334F2D" w:rsidP="00A7427B">
            <w:pPr>
              <w:ind w:firstLine="0"/>
              <w:jc w:val="left"/>
              <w:rPr>
                <w:sz w:val="16"/>
                <w:szCs w:val="16"/>
                <w:lang w:val="en-US"/>
              </w:rPr>
            </w:pPr>
            <w:r>
              <w:rPr>
                <w:color w:val="000000"/>
                <w:sz w:val="16"/>
                <w:szCs w:val="16"/>
              </w:rPr>
              <w:t>27.27</w:t>
            </w:r>
          </w:p>
        </w:tc>
      </w:tr>
      <w:tr w:rsidR="00334F2D" w14:paraId="543C1C10" w14:textId="77777777" w:rsidTr="00A7427B">
        <w:trPr>
          <w:trHeight w:val="145"/>
          <w:jc w:val="center"/>
        </w:trPr>
        <w:tc>
          <w:tcPr>
            <w:tcW w:w="664" w:type="dxa"/>
            <w:vMerge/>
            <w:tcBorders>
              <w:top w:val="single" w:sz="4" w:space="0" w:color="000000"/>
              <w:left w:val="single" w:sz="4" w:space="0" w:color="000000"/>
              <w:bottom w:val="single" w:sz="4" w:space="0" w:color="000000"/>
              <w:right w:val="single" w:sz="4" w:space="0" w:color="000000"/>
            </w:tcBorders>
            <w:vAlign w:val="center"/>
          </w:tcPr>
          <w:p w14:paraId="0D05EF27" w14:textId="77777777" w:rsidR="00334F2D" w:rsidRDefault="00334F2D" w:rsidP="00A7427B">
            <w:pPr>
              <w:jc w:val="left"/>
            </w:pPr>
          </w:p>
        </w:tc>
        <w:tc>
          <w:tcPr>
            <w:tcW w:w="749" w:type="dxa"/>
            <w:tcBorders>
              <w:top w:val="single" w:sz="4" w:space="0" w:color="000000"/>
              <w:left w:val="single" w:sz="4" w:space="0" w:color="000000"/>
              <w:bottom w:val="single" w:sz="4" w:space="0" w:color="000000"/>
              <w:right w:val="single" w:sz="4" w:space="0" w:color="000000"/>
            </w:tcBorders>
            <w:vAlign w:val="center"/>
          </w:tcPr>
          <w:p w14:paraId="37B474D3" w14:textId="77777777" w:rsidR="00334F2D" w:rsidRDefault="00334F2D" w:rsidP="00A7427B">
            <w:pPr>
              <w:ind w:firstLine="0"/>
              <w:jc w:val="left"/>
              <w:rPr>
                <w:sz w:val="16"/>
                <w:szCs w:val="16"/>
                <w:lang w:val="en-US"/>
              </w:rPr>
            </w:pPr>
            <w:r>
              <w:rPr>
                <w:sz w:val="16"/>
                <w:szCs w:val="16"/>
                <w:lang w:val="en-US"/>
              </w:rPr>
              <w:t>70</w:t>
            </w:r>
          </w:p>
        </w:tc>
        <w:tc>
          <w:tcPr>
            <w:tcW w:w="709" w:type="dxa"/>
            <w:tcBorders>
              <w:top w:val="single" w:sz="4" w:space="0" w:color="000000"/>
              <w:left w:val="single" w:sz="4" w:space="0" w:color="000000"/>
              <w:bottom w:val="single" w:sz="4" w:space="0" w:color="000000"/>
              <w:right w:val="single" w:sz="4" w:space="0" w:color="000000"/>
            </w:tcBorders>
            <w:vAlign w:val="center"/>
          </w:tcPr>
          <w:p w14:paraId="20F28B56" w14:textId="77777777" w:rsidR="00334F2D" w:rsidRDefault="00334F2D" w:rsidP="00A7427B">
            <w:pPr>
              <w:ind w:firstLine="0"/>
              <w:jc w:val="left"/>
              <w:rPr>
                <w:sz w:val="16"/>
                <w:szCs w:val="16"/>
                <w:lang w:val="en-US"/>
              </w:rPr>
            </w:pPr>
            <w:r>
              <w:rPr>
                <w:color w:val="000000"/>
                <w:sz w:val="16"/>
                <w:szCs w:val="16"/>
              </w:rPr>
              <w:t>70.15</w:t>
            </w:r>
          </w:p>
        </w:tc>
        <w:tc>
          <w:tcPr>
            <w:tcW w:w="850" w:type="dxa"/>
            <w:tcBorders>
              <w:top w:val="single" w:sz="4" w:space="0" w:color="000000"/>
              <w:left w:val="single" w:sz="4" w:space="0" w:color="000000"/>
              <w:bottom w:val="single" w:sz="4" w:space="0" w:color="000000"/>
              <w:right w:val="single" w:sz="4" w:space="0" w:color="000000"/>
            </w:tcBorders>
            <w:vAlign w:val="center"/>
          </w:tcPr>
          <w:p w14:paraId="13D81D10" w14:textId="77777777" w:rsidR="00334F2D" w:rsidRDefault="00334F2D" w:rsidP="00A7427B">
            <w:pPr>
              <w:ind w:firstLine="0"/>
              <w:jc w:val="left"/>
              <w:rPr>
                <w:sz w:val="16"/>
                <w:szCs w:val="16"/>
                <w:lang w:val="en-US"/>
              </w:rPr>
            </w:pPr>
            <w:r>
              <w:rPr>
                <w:color w:val="000000"/>
                <w:sz w:val="16"/>
                <w:szCs w:val="16"/>
              </w:rPr>
              <w:t>71.26</w:t>
            </w:r>
          </w:p>
        </w:tc>
        <w:tc>
          <w:tcPr>
            <w:tcW w:w="796" w:type="dxa"/>
            <w:tcBorders>
              <w:top w:val="single" w:sz="4" w:space="0" w:color="000000"/>
              <w:left w:val="single" w:sz="4" w:space="0" w:color="000000"/>
              <w:bottom w:val="single" w:sz="4" w:space="0" w:color="000000"/>
              <w:right w:val="single" w:sz="4" w:space="0" w:color="000000"/>
            </w:tcBorders>
            <w:vAlign w:val="center"/>
          </w:tcPr>
          <w:p w14:paraId="64DFB8D7" w14:textId="77777777" w:rsidR="00334F2D" w:rsidRDefault="00334F2D" w:rsidP="00A7427B">
            <w:pPr>
              <w:ind w:firstLine="0"/>
              <w:jc w:val="left"/>
              <w:rPr>
                <w:sz w:val="16"/>
                <w:szCs w:val="16"/>
                <w:lang w:val="en-US"/>
              </w:rPr>
            </w:pPr>
            <w:r>
              <w:rPr>
                <w:color w:val="000000"/>
                <w:sz w:val="16"/>
                <w:szCs w:val="16"/>
              </w:rPr>
              <w:t>71.26</w:t>
            </w:r>
          </w:p>
        </w:tc>
        <w:tc>
          <w:tcPr>
            <w:tcW w:w="786" w:type="dxa"/>
            <w:tcBorders>
              <w:top w:val="single" w:sz="4" w:space="0" w:color="000000"/>
              <w:left w:val="single" w:sz="4" w:space="0" w:color="000000"/>
              <w:bottom w:val="single" w:sz="4" w:space="0" w:color="000000"/>
              <w:right w:val="single" w:sz="4" w:space="0" w:color="000000"/>
            </w:tcBorders>
            <w:vAlign w:val="center"/>
          </w:tcPr>
          <w:p w14:paraId="75C2FBA0" w14:textId="77777777" w:rsidR="00334F2D" w:rsidRDefault="00334F2D" w:rsidP="00A7427B">
            <w:pPr>
              <w:ind w:firstLine="0"/>
              <w:jc w:val="left"/>
              <w:rPr>
                <w:sz w:val="16"/>
                <w:szCs w:val="16"/>
                <w:lang w:val="en-US"/>
              </w:rPr>
            </w:pPr>
            <w:r>
              <w:rPr>
                <w:color w:val="000000"/>
                <w:sz w:val="16"/>
                <w:szCs w:val="16"/>
              </w:rPr>
              <w:t>73.97</w:t>
            </w:r>
          </w:p>
        </w:tc>
      </w:tr>
      <w:tr w:rsidR="00334F2D" w14:paraId="01F36E5F" w14:textId="77777777" w:rsidTr="00A7427B">
        <w:trPr>
          <w:trHeight w:val="145"/>
          <w:jc w:val="center"/>
        </w:trPr>
        <w:tc>
          <w:tcPr>
            <w:tcW w:w="664" w:type="dxa"/>
            <w:vMerge/>
            <w:tcBorders>
              <w:top w:val="single" w:sz="4" w:space="0" w:color="000000"/>
              <w:left w:val="single" w:sz="4" w:space="0" w:color="000000"/>
              <w:bottom w:val="single" w:sz="4" w:space="0" w:color="000000"/>
              <w:right w:val="single" w:sz="4" w:space="0" w:color="000000"/>
            </w:tcBorders>
            <w:vAlign w:val="center"/>
          </w:tcPr>
          <w:p w14:paraId="210D843B" w14:textId="77777777" w:rsidR="00334F2D" w:rsidRDefault="00334F2D" w:rsidP="00A7427B">
            <w:pPr>
              <w:jc w:val="left"/>
            </w:pPr>
          </w:p>
        </w:tc>
        <w:tc>
          <w:tcPr>
            <w:tcW w:w="749" w:type="dxa"/>
            <w:tcBorders>
              <w:top w:val="single" w:sz="4" w:space="0" w:color="000000"/>
              <w:left w:val="single" w:sz="4" w:space="0" w:color="000000"/>
              <w:bottom w:val="single" w:sz="4" w:space="0" w:color="000000"/>
              <w:right w:val="single" w:sz="4" w:space="0" w:color="000000"/>
            </w:tcBorders>
            <w:vAlign w:val="center"/>
          </w:tcPr>
          <w:p w14:paraId="1E968CEC" w14:textId="77777777" w:rsidR="00334F2D" w:rsidRDefault="00334F2D" w:rsidP="00A7427B">
            <w:pPr>
              <w:ind w:firstLine="0"/>
              <w:jc w:val="left"/>
              <w:rPr>
                <w:sz w:val="16"/>
                <w:szCs w:val="16"/>
                <w:lang w:val="en-US"/>
              </w:rPr>
            </w:pPr>
            <w:r>
              <w:rPr>
                <w:sz w:val="16"/>
                <w:szCs w:val="16"/>
                <w:lang w:val="en-US"/>
              </w:rPr>
              <w:t>80</w:t>
            </w:r>
          </w:p>
        </w:tc>
        <w:tc>
          <w:tcPr>
            <w:tcW w:w="709" w:type="dxa"/>
            <w:tcBorders>
              <w:top w:val="single" w:sz="4" w:space="0" w:color="000000"/>
              <w:left w:val="single" w:sz="4" w:space="0" w:color="000000"/>
              <w:bottom w:val="single" w:sz="4" w:space="0" w:color="000000"/>
              <w:right w:val="single" w:sz="4" w:space="0" w:color="000000"/>
            </w:tcBorders>
            <w:vAlign w:val="center"/>
          </w:tcPr>
          <w:p w14:paraId="10A90A23" w14:textId="77777777" w:rsidR="00334F2D" w:rsidRDefault="00334F2D" w:rsidP="00A7427B">
            <w:pPr>
              <w:ind w:firstLine="0"/>
              <w:jc w:val="left"/>
              <w:rPr>
                <w:sz w:val="16"/>
                <w:szCs w:val="16"/>
                <w:lang w:val="en-US"/>
              </w:rPr>
            </w:pPr>
            <w:r>
              <w:rPr>
                <w:color w:val="000000"/>
                <w:sz w:val="16"/>
                <w:szCs w:val="16"/>
              </w:rPr>
              <w:t>80.04</w:t>
            </w:r>
          </w:p>
        </w:tc>
        <w:tc>
          <w:tcPr>
            <w:tcW w:w="850" w:type="dxa"/>
            <w:tcBorders>
              <w:top w:val="single" w:sz="4" w:space="0" w:color="000000"/>
              <w:left w:val="single" w:sz="4" w:space="0" w:color="000000"/>
              <w:bottom w:val="single" w:sz="4" w:space="0" w:color="000000"/>
              <w:right w:val="single" w:sz="4" w:space="0" w:color="000000"/>
            </w:tcBorders>
            <w:vAlign w:val="center"/>
          </w:tcPr>
          <w:p w14:paraId="3FF6905F" w14:textId="77777777" w:rsidR="00334F2D" w:rsidRDefault="00334F2D" w:rsidP="00A7427B">
            <w:pPr>
              <w:ind w:firstLine="0"/>
              <w:jc w:val="left"/>
              <w:rPr>
                <w:sz w:val="16"/>
                <w:szCs w:val="16"/>
                <w:lang w:val="en-US"/>
              </w:rPr>
            </w:pPr>
            <w:r>
              <w:rPr>
                <w:color w:val="000000"/>
                <w:sz w:val="16"/>
                <w:szCs w:val="16"/>
              </w:rPr>
              <w:t>91.73</w:t>
            </w:r>
          </w:p>
        </w:tc>
        <w:tc>
          <w:tcPr>
            <w:tcW w:w="796" w:type="dxa"/>
            <w:tcBorders>
              <w:top w:val="single" w:sz="4" w:space="0" w:color="000000"/>
              <w:left w:val="single" w:sz="4" w:space="0" w:color="000000"/>
              <w:bottom w:val="single" w:sz="4" w:space="0" w:color="000000"/>
              <w:right w:val="single" w:sz="4" w:space="0" w:color="000000"/>
            </w:tcBorders>
            <w:vAlign w:val="center"/>
          </w:tcPr>
          <w:p w14:paraId="710D5411" w14:textId="77777777" w:rsidR="00334F2D" w:rsidRDefault="00334F2D" w:rsidP="00A7427B">
            <w:pPr>
              <w:ind w:firstLine="0"/>
              <w:jc w:val="left"/>
              <w:rPr>
                <w:sz w:val="16"/>
                <w:szCs w:val="16"/>
                <w:lang w:val="en-US"/>
              </w:rPr>
            </w:pPr>
            <w:r>
              <w:rPr>
                <w:color w:val="000000"/>
                <w:sz w:val="16"/>
                <w:szCs w:val="16"/>
              </w:rPr>
              <w:t>82.27</w:t>
            </w:r>
          </w:p>
        </w:tc>
        <w:tc>
          <w:tcPr>
            <w:tcW w:w="786" w:type="dxa"/>
            <w:tcBorders>
              <w:top w:val="single" w:sz="4" w:space="0" w:color="000000"/>
              <w:left w:val="single" w:sz="4" w:space="0" w:color="000000"/>
              <w:bottom w:val="single" w:sz="4" w:space="0" w:color="000000"/>
              <w:right w:val="single" w:sz="4" w:space="0" w:color="000000"/>
            </w:tcBorders>
            <w:vAlign w:val="center"/>
          </w:tcPr>
          <w:p w14:paraId="275EFBED" w14:textId="77777777" w:rsidR="00334F2D" w:rsidRDefault="00334F2D" w:rsidP="00A7427B">
            <w:pPr>
              <w:ind w:firstLine="0"/>
              <w:jc w:val="left"/>
              <w:rPr>
                <w:sz w:val="16"/>
                <w:szCs w:val="16"/>
                <w:lang w:val="en-US"/>
              </w:rPr>
            </w:pPr>
            <w:r>
              <w:rPr>
                <w:color w:val="000000"/>
                <w:sz w:val="16"/>
                <w:szCs w:val="16"/>
              </w:rPr>
              <w:t>82.75</w:t>
            </w:r>
          </w:p>
        </w:tc>
      </w:tr>
      <w:tr w:rsidR="00334F2D" w14:paraId="654F7ABF" w14:textId="77777777" w:rsidTr="00A7427B">
        <w:trPr>
          <w:trHeight w:val="145"/>
          <w:jc w:val="center"/>
        </w:trPr>
        <w:tc>
          <w:tcPr>
            <w:tcW w:w="664" w:type="dxa"/>
            <w:vMerge/>
            <w:tcBorders>
              <w:top w:val="single" w:sz="4" w:space="0" w:color="000000"/>
              <w:left w:val="single" w:sz="4" w:space="0" w:color="000000"/>
              <w:bottom w:val="single" w:sz="4" w:space="0" w:color="000000"/>
              <w:right w:val="single" w:sz="4" w:space="0" w:color="000000"/>
            </w:tcBorders>
            <w:vAlign w:val="center"/>
          </w:tcPr>
          <w:p w14:paraId="72DDD99F" w14:textId="77777777" w:rsidR="00334F2D" w:rsidRDefault="00334F2D" w:rsidP="00A7427B">
            <w:pPr>
              <w:jc w:val="left"/>
            </w:pPr>
          </w:p>
        </w:tc>
        <w:tc>
          <w:tcPr>
            <w:tcW w:w="749" w:type="dxa"/>
            <w:tcBorders>
              <w:top w:val="single" w:sz="4" w:space="0" w:color="000000"/>
              <w:left w:val="single" w:sz="4" w:space="0" w:color="000000"/>
              <w:bottom w:val="single" w:sz="4" w:space="0" w:color="000000"/>
              <w:right w:val="single" w:sz="4" w:space="0" w:color="000000"/>
            </w:tcBorders>
            <w:vAlign w:val="center"/>
          </w:tcPr>
          <w:p w14:paraId="43F2A1EC" w14:textId="77777777" w:rsidR="00334F2D" w:rsidRDefault="00334F2D" w:rsidP="00A7427B">
            <w:pPr>
              <w:ind w:firstLine="0"/>
              <w:jc w:val="left"/>
              <w:rPr>
                <w:sz w:val="16"/>
                <w:szCs w:val="16"/>
                <w:lang w:val="en-US"/>
              </w:rPr>
            </w:pPr>
            <w:r>
              <w:rPr>
                <w:sz w:val="16"/>
                <w:szCs w:val="16"/>
                <w:lang w:val="en-US"/>
              </w:rPr>
              <w:t>90</w:t>
            </w:r>
          </w:p>
        </w:tc>
        <w:tc>
          <w:tcPr>
            <w:tcW w:w="709" w:type="dxa"/>
            <w:tcBorders>
              <w:top w:val="single" w:sz="4" w:space="0" w:color="000000"/>
              <w:left w:val="single" w:sz="4" w:space="0" w:color="000000"/>
              <w:bottom w:val="single" w:sz="4" w:space="0" w:color="000000"/>
              <w:right w:val="single" w:sz="4" w:space="0" w:color="000000"/>
            </w:tcBorders>
            <w:vAlign w:val="center"/>
          </w:tcPr>
          <w:p w14:paraId="4E3AC090" w14:textId="77777777" w:rsidR="00334F2D" w:rsidRDefault="00334F2D" w:rsidP="00A7427B">
            <w:pPr>
              <w:ind w:firstLine="0"/>
              <w:jc w:val="left"/>
              <w:rPr>
                <w:sz w:val="16"/>
                <w:szCs w:val="16"/>
                <w:lang w:val="en-US"/>
              </w:rPr>
            </w:pPr>
            <w:r>
              <w:rPr>
                <w:color w:val="000000"/>
                <w:sz w:val="16"/>
                <w:szCs w:val="16"/>
              </w:rPr>
              <w:t>90.30</w:t>
            </w:r>
          </w:p>
        </w:tc>
        <w:tc>
          <w:tcPr>
            <w:tcW w:w="850" w:type="dxa"/>
            <w:tcBorders>
              <w:top w:val="single" w:sz="4" w:space="0" w:color="000000"/>
              <w:left w:val="single" w:sz="4" w:space="0" w:color="000000"/>
              <w:bottom w:val="single" w:sz="4" w:space="0" w:color="000000"/>
              <w:right w:val="single" w:sz="4" w:space="0" w:color="000000"/>
            </w:tcBorders>
            <w:vAlign w:val="center"/>
          </w:tcPr>
          <w:p w14:paraId="3EFA2862" w14:textId="77777777" w:rsidR="00334F2D" w:rsidRDefault="00334F2D" w:rsidP="00A7427B">
            <w:pPr>
              <w:ind w:firstLine="0"/>
              <w:jc w:val="left"/>
              <w:rPr>
                <w:sz w:val="16"/>
                <w:szCs w:val="16"/>
                <w:lang w:val="en-US"/>
              </w:rPr>
            </w:pPr>
            <w:r>
              <w:rPr>
                <w:color w:val="000000"/>
                <w:sz w:val="16"/>
                <w:szCs w:val="16"/>
              </w:rPr>
              <w:t>91.24</w:t>
            </w:r>
          </w:p>
        </w:tc>
        <w:tc>
          <w:tcPr>
            <w:tcW w:w="796" w:type="dxa"/>
            <w:tcBorders>
              <w:top w:val="single" w:sz="4" w:space="0" w:color="000000"/>
              <w:left w:val="single" w:sz="4" w:space="0" w:color="000000"/>
              <w:bottom w:val="single" w:sz="4" w:space="0" w:color="000000"/>
              <w:right w:val="single" w:sz="4" w:space="0" w:color="000000"/>
            </w:tcBorders>
            <w:vAlign w:val="center"/>
          </w:tcPr>
          <w:p w14:paraId="1DEC09CD" w14:textId="77777777" w:rsidR="00334F2D" w:rsidRDefault="00334F2D" w:rsidP="00A7427B">
            <w:pPr>
              <w:ind w:firstLine="0"/>
              <w:jc w:val="left"/>
              <w:rPr>
                <w:sz w:val="16"/>
                <w:szCs w:val="16"/>
                <w:lang w:val="en-US"/>
              </w:rPr>
            </w:pPr>
            <w:r>
              <w:rPr>
                <w:color w:val="000000"/>
                <w:sz w:val="16"/>
                <w:szCs w:val="16"/>
              </w:rPr>
              <w:t>92.13</w:t>
            </w:r>
          </w:p>
        </w:tc>
        <w:tc>
          <w:tcPr>
            <w:tcW w:w="786" w:type="dxa"/>
            <w:tcBorders>
              <w:top w:val="single" w:sz="4" w:space="0" w:color="000000"/>
              <w:left w:val="single" w:sz="4" w:space="0" w:color="000000"/>
              <w:bottom w:val="single" w:sz="4" w:space="0" w:color="000000"/>
              <w:right w:val="single" w:sz="4" w:space="0" w:color="000000"/>
            </w:tcBorders>
            <w:vAlign w:val="center"/>
          </w:tcPr>
          <w:p w14:paraId="0340BAEB" w14:textId="77777777" w:rsidR="00334F2D" w:rsidRDefault="00334F2D" w:rsidP="00A7427B">
            <w:pPr>
              <w:ind w:firstLine="0"/>
              <w:jc w:val="left"/>
              <w:rPr>
                <w:sz w:val="16"/>
                <w:szCs w:val="16"/>
                <w:lang w:val="en-US"/>
              </w:rPr>
            </w:pPr>
            <w:r>
              <w:rPr>
                <w:color w:val="000000"/>
                <w:sz w:val="16"/>
                <w:szCs w:val="16"/>
              </w:rPr>
              <w:t>92.67</w:t>
            </w:r>
          </w:p>
        </w:tc>
      </w:tr>
    </w:tbl>
    <w:p w14:paraId="2033757A" w14:textId="1CB3100A" w:rsidR="00051088" w:rsidRDefault="00000000" w:rsidP="0057198C">
      <w:pPr>
        <w:pStyle w:val="Heading2"/>
        <w:ind w:left="357" w:hanging="357"/>
        <w:rPr>
          <w:color w:val="auto"/>
        </w:rPr>
      </w:pPr>
      <w:r>
        <w:rPr>
          <w:color w:val="auto"/>
        </w:rPr>
        <w:t>Cross-Device Validation</w:t>
      </w:r>
    </w:p>
    <w:p w14:paraId="63848CE1" w14:textId="77777777" w:rsidR="00051088" w:rsidRDefault="00000000" w:rsidP="00A7427B">
      <w:pPr>
        <w:pStyle w:val="Text"/>
        <w:widowControl/>
        <w:spacing w:line="240" w:lineRule="auto"/>
        <w:ind w:firstLine="357"/>
        <w:rPr>
          <w:color w:val="FF0000"/>
          <w:lang w:val="id-ID"/>
        </w:rPr>
      </w:pPr>
      <w:r>
        <w:rPr>
          <w:lang w:val="id-ID"/>
        </w:rPr>
        <w:t>Table IV presents cross-device testing between the Poco F4 and Poco X5 under both station and no</w:t>
      </w:r>
      <w:r>
        <w:rPr>
          <w:lang w:val="id-ID"/>
        </w:rPr>
        <w:noBreakHyphen/>
        <w:t>station conditions. Cross-device evaluation showed that measurements taken inside the illumination chamber exhibited minimal variation between smartphones. This confirms that the platform’s fixed geometry, stable LED illumination, and RGB</w:t>
      </w:r>
      <w:r>
        <w:rPr>
          <w:lang w:val="id-ID"/>
        </w:rPr>
        <w:noBreakHyphen/>
        <w:t>to</w:t>
      </w:r>
      <w:r>
        <w:rPr>
          <w:lang w:val="id-ID"/>
        </w:rPr>
        <w:noBreakHyphen/>
        <w:t>CIELAB normalization successfully compensate for differences in sensor characteristics, white balance behavior, and image processing pipelines across devices. In contrast, no</w:t>
      </w:r>
      <w:r>
        <w:rPr>
          <w:lang w:val="id-ID"/>
        </w:rPr>
        <w:noBreakHyphen/>
        <w:t>station measurements showed larger deviations, reflecting the impact of uncontrolled ambient lighting and inconsistent positioning</w:t>
      </w:r>
      <w:r>
        <w:rPr>
          <w:lang w:val="en-US"/>
        </w:rPr>
        <w:t>.</w:t>
      </w:r>
    </w:p>
    <w:p w14:paraId="6F1D7EA9" w14:textId="77777777" w:rsidR="00051088" w:rsidRDefault="00000000" w:rsidP="0057198C">
      <w:pPr>
        <w:pStyle w:val="Heading1"/>
        <w:ind w:left="357" w:hanging="357"/>
      </w:pPr>
      <w:r>
        <w:t>Discussion</w:t>
      </w:r>
    </w:p>
    <w:p w14:paraId="5990FAF3" w14:textId="727346DE" w:rsidR="00051088" w:rsidRDefault="00000000" w:rsidP="00A7427B">
      <w:pPr>
        <w:rPr>
          <w:lang w:eastAsia="x-none"/>
        </w:rPr>
      </w:pPr>
      <w:r>
        <w:rPr>
          <w:lang w:eastAsia="x-none"/>
        </w:rPr>
        <w:t>The Colorizer platform showed strong reproducibility, portability, and analytical reliability across all tested dye assays. The controlled illumination chamber was key to this performance, maintaining stable optical conditions and reducing the impact of ambient light. Along with fixed smartphone positioning, this ensured consistent image capture across replicates and devices. These conditions directly contributed to the high R² values seen for red and yellow dyes in Table II and Figure 10, confirming that the measurement process remained linear across the tested concentration ranges.</w:t>
      </w:r>
    </w:p>
    <w:p w14:paraId="29D8210B" w14:textId="77777777" w:rsidR="00E106DD" w:rsidRDefault="00000000" w:rsidP="00A7427B">
      <w:pPr>
        <w:rPr>
          <w:lang w:eastAsia="x-none"/>
        </w:rPr>
      </w:pPr>
      <w:r>
        <w:rPr>
          <w:lang w:eastAsia="x-none"/>
        </w:rPr>
        <w:t>The RGB</w:t>
      </w:r>
      <w:r>
        <w:rPr>
          <w:lang w:eastAsia="x-none"/>
        </w:rPr>
        <w:noBreakHyphen/>
        <w:t>to</w:t>
      </w:r>
      <w:r>
        <w:rPr>
          <w:lang w:eastAsia="x-none"/>
        </w:rPr>
        <w:noBreakHyphen/>
        <w:t xml:space="preserve">CIELAB transformation and </w:t>
      </w:r>
      <w:r w:rsidRPr="00A7427B">
        <w:rPr>
          <w:i/>
          <w:iCs/>
          <w:lang w:eastAsia="x-none"/>
        </w:rPr>
        <w:t>ln(x+1)</w:t>
      </w:r>
      <w:r>
        <w:rPr>
          <w:lang w:eastAsia="x-none"/>
        </w:rPr>
        <w:t xml:space="preserve"> feature adjustment further improved predictive accuracy by reducing device-specific variation and linearizing the color–concentration response. These lightweight processing steps were sufficient to achieve near</w:t>
      </w:r>
      <w:r>
        <w:rPr>
          <w:lang w:eastAsia="x-none"/>
        </w:rPr>
        <w:noBreakHyphen/>
        <w:t>spectrophotometric agreement for red and yellow dyes, as shown in Table III and Figure 11. Blue dyes showed greater variance and higher RMSE, consistent with the inherent difficulty of quantifying darker samples using smartphone cameras. Despite this, the platform maintained an overall linear trend aligned with the reference instrument, indicating that the core modeling pipeline remains effective even under challenging optical conditions.</w:t>
      </w:r>
    </w:p>
    <w:p w14:paraId="77682B45" w14:textId="3E7BAE3D" w:rsidR="00A7427B" w:rsidRDefault="00000000" w:rsidP="00A7427B">
      <w:pPr>
        <w:rPr>
          <w:lang w:eastAsia="x-none"/>
        </w:rPr>
      </w:pPr>
      <w:r>
        <w:rPr>
          <w:lang w:eastAsia="x-none"/>
        </w:rPr>
        <w:t>Cross-device comparisons in Table IV revealed that measurements taken inside the illumination chamber were consistent across smartphones. This shows that controlled lighting geometry helps reduce differences caused by sensor traits, automatic white balance, and internal image-processing pipelines. No-station testing exhibited noticeably larger deviations, highlighting the need for hardware stabilization to ensure accurate smartphone-based colorimetry. Overall, these results confirm that combining fixed geometry, stable illumination, and CIELAB normalization allows for consistent performance across various devices.</w:t>
      </w:r>
    </w:p>
    <w:p w14:paraId="30552D77" w14:textId="5D3939B8" w:rsidR="00051088" w:rsidRDefault="00000000" w:rsidP="00A7427B">
      <w:pPr>
        <w:rPr>
          <w:lang w:eastAsia="x-none"/>
        </w:rPr>
      </w:pPr>
      <w:r>
        <w:rPr>
          <w:lang w:eastAsia="x-none"/>
        </w:rPr>
        <w:t>The offline architecture further improves the platform’s field usability. Local calibration storage, on-device regression, and real-time processing enable operation without network connectivity, which is vital for remote or resource-limited settings. The small sampling station, Bluetooth-controlled illumination, and instant readout interface make the system ideal for environmental monitoring, educational labs, and emerging point-of-care workflows. The low hardware cost enhances accessibility in situations where benchtop spectrophotometers are impractical.</w:t>
      </w:r>
    </w:p>
    <w:p w14:paraId="4EBDF470" w14:textId="77777777" w:rsidR="00051088" w:rsidRDefault="00000000" w:rsidP="00A7427B">
      <w:pPr>
        <w:rPr>
          <w:lang w:eastAsia="x-none"/>
        </w:rPr>
      </w:pPr>
      <w:r>
        <w:rPr>
          <w:lang w:eastAsia="x-none"/>
        </w:rPr>
        <w:t>However, several limitations remain. Blue dye measurements showed reduced accuracy due to lower signal</w:t>
      </w:r>
      <w:r>
        <w:rPr>
          <w:lang w:eastAsia="x-none"/>
        </w:rPr>
        <w:noBreakHyphen/>
        <w:t>to</w:t>
      </w:r>
      <w:r>
        <w:rPr>
          <w:lang w:eastAsia="x-none"/>
        </w:rPr>
        <w:noBreakHyphen/>
        <w:t>noise ratios and partial sensor saturation at high absorbance levels. The experiments used synthetic dyes, which do not capture the complexity of real-world targets like environmental contaminants, biochemical markers, or food-quality indicators. The single-cuvette setup also limits throughput, making the system more suitable for low-volume testing. These limitations highlight opportunities for improved optical design, expanded calibration sets, and multi-sample or automated measurement formats.</w:t>
      </w:r>
    </w:p>
    <w:p w14:paraId="68574E18" w14:textId="77777777" w:rsidR="00051088" w:rsidRDefault="00000000" w:rsidP="00A7427B">
      <w:pPr>
        <w:rPr>
          <w:lang w:eastAsia="x-none"/>
        </w:rPr>
      </w:pPr>
      <w:r>
        <w:rPr>
          <w:lang w:eastAsia="x-none"/>
        </w:rPr>
        <w:t>Future development should concentrate on validation with actual analytes to evaluate performance in more complex matrices. Additional modeling techniques, such as partial least squares or lightweight neural networks optimized for mobile hardware, could improve prediction accuracy while maintaining real-time functionality. Broader benchmarking against established spectrophotometers and current smartphone colorimetry platforms will also be essential to understand Colorizer’s accuracy, limitations, and practical benefits. Testing system robustness under varying lighting conditions, temperature changes, and sample turbidity will offer a more comprehensive view of operational limits. These efforts will drive iterative improvements to both hardware and software, leading to better optical stability, more flexible calibration processes, and potentially multi</w:t>
      </w:r>
      <w:r>
        <w:rPr>
          <w:lang w:eastAsia="x-none"/>
        </w:rPr>
        <w:noBreakHyphen/>
        <w:t>analyte workflows. Overall, this will help evolve Colorizer into a dependable, field-ready tool for portable colorimetric measurement.</w:t>
      </w:r>
    </w:p>
    <w:p w14:paraId="785BCDA6" w14:textId="77777777" w:rsidR="00051088" w:rsidRDefault="00000000" w:rsidP="0057198C">
      <w:pPr>
        <w:pStyle w:val="Heading1"/>
        <w:ind w:left="357" w:hanging="357"/>
      </w:pPr>
      <w:r>
        <w:t>Conclusion</w:t>
      </w:r>
    </w:p>
    <w:p w14:paraId="46CFEBFF" w14:textId="1E083FBE" w:rsidR="00051088" w:rsidRDefault="00000000" w:rsidP="00A7427B">
      <w:pPr>
        <w:rPr>
          <w:lang w:eastAsia="x-none"/>
        </w:rPr>
      </w:pPr>
      <w:r>
        <w:rPr>
          <w:lang w:eastAsia="x-none"/>
        </w:rPr>
        <w:t>This study introduced Colorizer, a modular smartphone-based colorimetric platform that combines controlled LED lighting, RGB-to-CIELAB conversion, and lightweight multivariate regression for portable analyte measurement. The system demonstrated high reproducibility and closely matched the trends of the reference spectrophotometer for red and yellow dyes, thanks to stable illumination, a fixed imaging geometry, and device-independent color normalization. Although results for blue dye showed more variability due to sensor saturation and lower signal-to-noise ratios, the overall linear response across all dyes indicates that the measurement process is reliable under practical conditions.</w:t>
      </w:r>
      <w:r w:rsidR="00E106DD">
        <w:rPr>
          <w:lang w:eastAsia="x-none"/>
        </w:rPr>
        <w:t xml:space="preserve"> </w:t>
      </w:r>
      <w:r>
        <w:rPr>
          <w:lang w:eastAsia="x-none"/>
        </w:rPr>
        <w:t xml:space="preserve">Cross-device testing revealed that the controlled illumination chamber significantly reduces variability among smartphones, highlighting the importance of optical stabilization in mobile colorimetry. Offline operation, local calibration storage, and real-time processing further enhance field usability, making the </w:t>
      </w:r>
      <w:r>
        <w:rPr>
          <w:lang w:eastAsia="x-none"/>
        </w:rPr>
        <w:lastRenderedPageBreak/>
        <w:t>platform suitable for environmental testing, educational purposes, and early-stage point-of-care workflows where traditional spectrophotometers are not available.</w:t>
      </w:r>
      <w:r w:rsidR="00E106DD">
        <w:rPr>
          <w:lang w:eastAsia="x-none"/>
        </w:rPr>
        <w:t xml:space="preserve"> </w:t>
      </w:r>
      <w:r>
        <w:rPr>
          <w:lang w:eastAsia="x-none"/>
        </w:rPr>
        <w:t>Future work will extend validation to real analytes, including environmental contaminants, biochemical markers, and food-quality indicators, to evaluate performance in complex matrices. Additional improvements will investigate enhanced optical design, expanded calibration sets, and potential multi-sample formats to boost throughput. Further assessment of alternative modeling strategies, such as partial least squares regression or lightweight neural networks optimized for mobile devices, may enhance prediction accuracy while maintaining real-time operation. These developments will support the ongoing refinement of Colorizer as a reliable, scalable, and field-deployable platform for portable colorimetric analysis.</w:t>
      </w:r>
    </w:p>
    <w:p w14:paraId="319D7D30" w14:textId="77777777" w:rsidR="00051088" w:rsidRDefault="00000000" w:rsidP="0057198C">
      <w:pPr>
        <w:pStyle w:val="Heading1"/>
        <w:numPr>
          <w:ilvl w:val="0"/>
          <w:numId w:val="0"/>
        </w:numPr>
        <w:rPr>
          <w:color w:val="FF0000"/>
          <w:lang w:val="en-US"/>
        </w:rPr>
      </w:pPr>
      <w:r>
        <w:rPr>
          <w:color w:val="000000" w:themeColor="dark1"/>
          <w:lang w:val="en-US"/>
        </w:rPr>
        <w:t>Declarations</w:t>
      </w:r>
    </w:p>
    <w:p w14:paraId="01D87554" w14:textId="77777777" w:rsidR="00051088" w:rsidRDefault="00000000" w:rsidP="0057198C">
      <w:pPr>
        <w:pStyle w:val="Heading1"/>
        <w:numPr>
          <w:ilvl w:val="0"/>
          <w:numId w:val="0"/>
        </w:numPr>
        <w:ind w:left="357" w:hanging="357"/>
        <w:jc w:val="left"/>
        <w:rPr>
          <w:smallCaps w:val="0"/>
          <w:color w:val="FF0000"/>
          <w:sz w:val="18"/>
          <w:szCs w:val="18"/>
        </w:rPr>
      </w:pPr>
      <w:r>
        <w:rPr>
          <w:smallCaps w:val="0"/>
          <w:sz w:val="18"/>
          <w:szCs w:val="18"/>
        </w:rPr>
        <w:t>Conflict of Interest</w:t>
      </w:r>
    </w:p>
    <w:p w14:paraId="6819D7A7" w14:textId="3ABFF4D2" w:rsidR="00051088" w:rsidRDefault="00000000" w:rsidP="00A7427B">
      <w:pPr>
        <w:pStyle w:val="Heading1"/>
        <w:numPr>
          <w:ilvl w:val="0"/>
          <w:numId w:val="0"/>
        </w:numPr>
        <w:spacing w:before="0" w:after="0"/>
        <w:ind w:firstLine="284"/>
        <w:jc w:val="both"/>
        <w:rPr>
          <w:b w:val="0"/>
          <w:smallCaps w:val="0"/>
          <w:sz w:val="18"/>
          <w:szCs w:val="18"/>
        </w:rPr>
      </w:pPr>
      <w:r>
        <w:rPr>
          <w:b w:val="0"/>
          <w:smallCaps w:val="0"/>
          <w:sz w:val="18"/>
          <w:szCs w:val="18"/>
        </w:rPr>
        <w:t xml:space="preserve">The authors declare no conflicts of interest that could potentially influence the research, data analysis, </w:t>
      </w:r>
      <w:r w:rsidR="00302E85">
        <w:rPr>
          <w:b w:val="0"/>
          <w:smallCaps w:val="0"/>
          <w:sz w:val="18"/>
          <w:szCs w:val="18"/>
        </w:rPr>
        <w:t xml:space="preserve">and </w:t>
      </w:r>
      <w:r>
        <w:rPr>
          <w:b w:val="0"/>
          <w:smallCaps w:val="0"/>
          <w:sz w:val="18"/>
          <w:szCs w:val="18"/>
        </w:rPr>
        <w:t>interpretation</w:t>
      </w:r>
      <w:r w:rsidR="00302E85">
        <w:rPr>
          <w:b w:val="0"/>
          <w:smallCaps w:val="0"/>
          <w:sz w:val="18"/>
          <w:szCs w:val="18"/>
        </w:rPr>
        <w:t>.</w:t>
      </w:r>
      <w:r w:rsidR="00E106DD">
        <w:rPr>
          <w:b w:val="0"/>
          <w:smallCaps w:val="0"/>
          <w:sz w:val="18"/>
          <w:szCs w:val="18"/>
        </w:rPr>
        <w:t xml:space="preserve"> </w:t>
      </w:r>
    </w:p>
    <w:p w14:paraId="42730E17" w14:textId="77777777" w:rsidR="00051088" w:rsidRDefault="00000000" w:rsidP="0057198C">
      <w:pPr>
        <w:pStyle w:val="Heading1"/>
        <w:numPr>
          <w:ilvl w:val="0"/>
          <w:numId w:val="0"/>
        </w:numPr>
        <w:ind w:left="357" w:hanging="357"/>
        <w:jc w:val="left"/>
        <w:rPr>
          <w:smallCaps w:val="0"/>
          <w:color w:val="FF0000"/>
          <w:sz w:val="18"/>
          <w:szCs w:val="18"/>
        </w:rPr>
      </w:pPr>
      <w:r>
        <w:rPr>
          <w:smallCaps w:val="0"/>
          <w:sz w:val="18"/>
          <w:szCs w:val="18"/>
        </w:rPr>
        <w:t>CRediT Authorship Contribution</w:t>
      </w:r>
    </w:p>
    <w:p w14:paraId="5CD43B4E" w14:textId="4931798D" w:rsidR="00051088" w:rsidRPr="00A7427B" w:rsidRDefault="00000000" w:rsidP="00A7427B">
      <w:pPr>
        <w:ind w:firstLine="284"/>
        <w:rPr>
          <w:color w:val="000000"/>
          <w:sz w:val="18"/>
          <w:szCs w:val="18"/>
        </w:rPr>
      </w:pPr>
      <w:r w:rsidRPr="00A7427B">
        <w:rPr>
          <w:color w:val="000000"/>
          <w:sz w:val="18"/>
          <w:szCs w:val="18"/>
        </w:rPr>
        <w:t>Robeth Viktoria Manurung: Writing – Review, Editing,</w:t>
      </w:r>
      <w:r w:rsidR="00A7427B" w:rsidRPr="00A7427B">
        <w:rPr>
          <w:color w:val="000000"/>
          <w:sz w:val="18"/>
          <w:szCs w:val="18"/>
        </w:rPr>
        <w:t xml:space="preserve"> </w:t>
      </w:r>
      <w:r w:rsidRPr="00A7427B">
        <w:rPr>
          <w:color w:val="000000"/>
          <w:sz w:val="18"/>
          <w:szCs w:val="18"/>
        </w:rPr>
        <w:t>Conceptualization, Methodology, Investigation, and</w:t>
      </w:r>
      <w:r w:rsidR="00A7427B" w:rsidRPr="00A7427B">
        <w:rPr>
          <w:color w:val="000000"/>
          <w:sz w:val="18"/>
          <w:szCs w:val="18"/>
        </w:rPr>
        <w:t xml:space="preserve"> </w:t>
      </w:r>
      <w:r w:rsidRPr="00A7427B">
        <w:rPr>
          <w:color w:val="000000"/>
          <w:sz w:val="18"/>
          <w:szCs w:val="18"/>
        </w:rPr>
        <w:t>Supervision; Jonathan Edwards Telaumbanua: Investigation,</w:t>
      </w:r>
      <w:r w:rsidR="00E106DD">
        <w:rPr>
          <w:color w:val="000000"/>
          <w:sz w:val="18"/>
          <w:szCs w:val="18"/>
        </w:rPr>
        <w:t xml:space="preserve"> </w:t>
      </w:r>
      <w:r w:rsidRPr="00A7427B">
        <w:rPr>
          <w:color w:val="000000"/>
          <w:sz w:val="18"/>
          <w:szCs w:val="18"/>
        </w:rPr>
        <w:t>Data Curation, Writing - Original Draft, Visualization;</w:t>
      </w:r>
      <w:r w:rsidR="00A7427B" w:rsidRPr="00A7427B">
        <w:rPr>
          <w:color w:val="000000"/>
          <w:sz w:val="18"/>
          <w:szCs w:val="18"/>
        </w:rPr>
        <w:t xml:space="preserve"> </w:t>
      </w:r>
      <w:r w:rsidRPr="00A7427B">
        <w:rPr>
          <w:color w:val="000000"/>
          <w:sz w:val="18"/>
          <w:szCs w:val="18"/>
        </w:rPr>
        <w:t xml:space="preserve">Richard Anthony Lim: Design, Visualization, and Data Curation; Winda Astuti: Supervision. Methodology and Data Validation; Dedi: </w:t>
      </w:r>
      <w:r w:rsidR="006552A1" w:rsidRPr="00A7427B">
        <w:rPr>
          <w:color w:val="000000"/>
          <w:sz w:val="18"/>
          <w:szCs w:val="18"/>
        </w:rPr>
        <w:t>I</w:t>
      </w:r>
      <w:r w:rsidRPr="00A7427B">
        <w:rPr>
          <w:color w:val="000000"/>
          <w:sz w:val="18"/>
          <w:szCs w:val="18"/>
        </w:rPr>
        <w:t>nvestigation, Supervision</w:t>
      </w:r>
      <w:r w:rsidR="00A7427B" w:rsidRPr="00A7427B">
        <w:rPr>
          <w:color w:val="000000"/>
          <w:sz w:val="18"/>
          <w:szCs w:val="18"/>
        </w:rPr>
        <w:t xml:space="preserve"> </w:t>
      </w:r>
      <w:r w:rsidRPr="00A7427B">
        <w:rPr>
          <w:color w:val="000000"/>
          <w:sz w:val="18"/>
          <w:szCs w:val="18"/>
        </w:rPr>
        <w:t>Agustina Sus Andreani: Methodology and Reviewing.</w:t>
      </w:r>
    </w:p>
    <w:p w14:paraId="305A319F" w14:textId="5B4FE3B3" w:rsidR="00051088" w:rsidRDefault="00000000" w:rsidP="007B6076">
      <w:pPr>
        <w:spacing w:before="180" w:after="60"/>
        <w:ind w:firstLine="0"/>
        <w:rPr>
          <w:b/>
          <w:sz w:val="18"/>
          <w:szCs w:val="18"/>
        </w:rPr>
      </w:pPr>
      <w:r>
        <w:rPr>
          <w:b/>
          <w:sz w:val="18"/>
          <w:szCs w:val="18"/>
        </w:rPr>
        <w:t>Funding</w:t>
      </w:r>
    </w:p>
    <w:p w14:paraId="0F2E75CF" w14:textId="77777777" w:rsidR="00051088" w:rsidRDefault="00000000" w:rsidP="006D0E12">
      <w:pPr>
        <w:rPr>
          <w:sz w:val="18"/>
          <w:szCs w:val="18"/>
        </w:rPr>
      </w:pPr>
      <w:r>
        <w:rPr>
          <w:sz w:val="18"/>
          <w:szCs w:val="18"/>
        </w:rPr>
        <w:t xml:space="preserve">This work was supported by the Riset dan Inovasi Untuk Indonesia Maju (RIIM) Fund Batch 3 project (SK DFRI-BRIN No.12/II.7/HK/2023). The authors also thank the Indonesia Endowment Fund for Education (Lembaga Pengelolaan Dana Pendidikan, or LPDP) for the research funding under RVM. </w:t>
      </w:r>
    </w:p>
    <w:p w14:paraId="046A3FE6" w14:textId="77777777" w:rsidR="00051088" w:rsidRDefault="00000000" w:rsidP="007B6076">
      <w:pPr>
        <w:pStyle w:val="Heading1"/>
        <w:numPr>
          <w:ilvl w:val="0"/>
          <w:numId w:val="0"/>
        </w:numPr>
        <w:ind w:left="357" w:hanging="357"/>
        <w:jc w:val="left"/>
        <w:rPr>
          <w:smallCaps w:val="0"/>
          <w:color w:val="FF0000"/>
          <w:sz w:val="18"/>
          <w:szCs w:val="18"/>
        </w:rPr>
      </w:pPr>
      <w:r>
        <w:rPr>
          <w:smallCaps w:val="0"/>
          <w:color w:val="000000"/>
          <w:sz w:val="18"/>
          <w:szCs w:val="18"/>
        </w:rPr>
        <w:t>Acknowledgment</w:t>
      </w:r>
    </w:p>
    <w:p w14:paraId="7B2208C8" w14:textId="77777777" w:rsidR="00051088" w:rsidRDefault="00000000" w:rsidP="006D0E12">
      <w:pPr>
        <w:rPr>
          <w:color w:val="000000"/>
          <w:sz w:val="18"/>
          <w:szCs w:val="18"/>
        </w:rPr>
      </w:pPr>
      <w:r>
        <w:rPr>
          <w:color w:val="000000"/>
          <w:sz w:val="18"/>
          <w:szCs w:val="18"/>
        </w:rPr>
        <w:t>The authors thank the BASICS Advances Laboratories, Research, and Innovation Agency, Republic of Indonesia (BRIN) at KST Samaun Samadikun for supporting the research analysis.</w:t>
      </w:r>
    </w:p>
    <w:p w14:paraId="63B7E3A1" w14:textId="77777777" w:rsidR="00051088" w:rsidRDefault="00000000" w:rsidP="006D0E12">
      <w:pPr>
        <w:pStyle w:val="Heading1"/>
        <w:numPr>
          <w:ilvl w:val="0"/>
          <w:numId w:val="0"/>
        </w:numPr>
        <w:rPr>
          <w:color w:val="FF0000"/>
        </w:rPr>
      </w:pPr>
      <w:r>
        <w:rPr>
          <w:color w:val="000000" w:themeColor="dark1"/>
        </w:rPr>
        <w:t>References</w:t>
      </w:r>
    </w:p>
    <w:p w14:paraId="20A484D0" w14:textId="1AB33C18" w:rsidR="00051088" w:rsidRDefault="00000000" w:rsidP="00302E85">
      <w:pPr>
        <w:pStyle w:val="IEEEReferenceItem"/>
        <w:numPr>
          <w:ilvl w:val="0"/>
          <w:numId w:val="9"/>
        </w:numPr>
        <w:ind w:left="357" w:hanging="357"/>
        <w:rPr>
          <w:szCs w:val="16"/>
          <w:lang w:val="en-ID"/>
        </w:rPr>
      </w:pPr>
      <w:r>
        <w:rPr>
          <w:szCs w:val="16"/>
          <w:lang w:val="en-ID"/>
        </w:rPr>
        <w:t xml:space="preserve">Z. Jin et al., “Colorimetric sensing for translational applications: From colorants to mechanisms,” </w:t>
      </w:r>
      <w:r>
        <w:rPr>
          <w:i/>
          <w:iCs/>
          <w:szCs w:val="16"/>
          <w:lang w:val="en-ID"/>
        </w:rPr>
        <w:t>Chem. Soc. Rev.</w:t>
      </w:r>
      <w:r>
        <w:rPr>
          <w:szCs w:val="16"/>
          <w:lang w:val="en-ID"/>
        </w:rPr>
        <w:t xml:space="preserve">, vol. 53, no. 15, pp. 7681–7741, 2024, </w:t>
      </w:r>
      <w:proofErr w:type="spellStart"/>
      <w:r>
        <w:rPr>
          <w:szCs w:val="16"/>
          <w:lang w:val="en-ID"/>
        </w:rPr>
        <w:t>doi</w:t>
      </w:r>
      <w:proofErr w:type="spellEnd"/>
      <w:r>
        <w:rPr>
          <w:szCs w:val="16"/>
          <w:lang w:val="en-ID"/>
        </w:rPr>
        <w:t>: 10.1039/d4cs00328d.</w:t>
      </w:r>
    </w:p>
    <w:p w14:paraId="6287D390" w14:textId="7890B880" w:rsidR="00051088" w:rsidRDefault="00000000" w:rsidP="00302E85">
      <w:pPr>
        <w:pStyle w:val="IEEEReferenceItem"/>
        <w:numPr>
          <w:ilvl w:val="0"/>
          <w:numId w:val="9"/>
        </w:numPr>
        <w:ind w:left="357" w:hanging="357"/>
        <w:rPr>
          <w:szCs w:val="16"/>
          <w:lang w:val="en-ID"/>
        </w:rPr>
      </w:pPr>
      <w:r>
        <w:rPr>
          <w:szCs w:val="16"/>
          <w:lang w:val="en-ID"/>
        </w:rPr>
        <w:t xml:space="preserve">S. Krishnan and Z. ul Syed, “Colorimetric visual sensors for point-of-needs testing,” </w:t>
      </w:r>
      <w:r w:rsidRPr="006552A1">
        <w:rPr>
          <w:i/>
          <w:iCs/>
          <w:szCs w:val="16"/>
          <w:lang w:val="en-ID"/>
        </w:rPr>
        <w:t>Sensors Actuators R</w:t>
      </w:r>
      <w:r>
        <w:rPr>
          <w:i/>
          <w:iCs/>
          <w:szCs w:val="16"/>
          <w:lang w:val="en-ID"/>
        </w:rPr>
        <w:t>ep.</w:t>
      </w:r>
      <w:r>
        <w:rPr>
          <w:szCs w:val="16"/>
          <w:lang w:val="en-ID"/>
        </w:rPr>
        <w:t xml:space="preserve">, vol. 4, Nov. 2022, Art. no. 100078, </w:t>
      </w:r>
      <w:proofErr w:type="spellStart"/>
      <w:r>
        <w:rPr>
          <w:szCs w:val="16"/>
          <w:lang w:val="en-ID"/>
        </w:rPr>
        <w:t>doi</w:t>
      </w:r>
      <w:proofErr w:type="spellEnd"/>
      <w:r>
        <w:rPr>
          <w:szCs w:val="16"/>
          <w:lang w:val="en-ID"/>
        </w:rPr>
        <w:t>: 10.1016/j.snr.2022.100078. </w:t>
      </w:r>
    </w:p>
    <w:p w14:paraId="0FCC1767" w14:textId="532AC919" w:rsidR="00051088" w:rsidRPr="00193869" w:rsidRDefault="00000000" w:rsidP="00302E85">
      <w:pPr>
        <w:pStyle w:val="IEEEReferenceItem"/>
        <w:numPr>
          <w:ilvl w:val="0"/>
          <w:numId w:val="9"/>
        </w:numPr>
        <w:ind w:left="357" w:hanging="357"/>
        <w:rPr>
          <w:szCs w:val="16"/>
          <w:lang w:val="en-ID"/>
        </w:rPr>
      </w:pPr>
      <w:r>
        <w:t xml:space="preserve"> </w:t>
      </w:r>
      <w:r w:rsidR="006552A1" w:rsidRPr="006552A1">
        <w:t xml:space="preserve">A. K. Samanta, “Advanced methods and tools for color measuring and matching: for quality check of colored products of textiles and apparel industry,” </w:t>
      </w:r>
      <w:r w:rsidR="008F0973">
        <w:t xml:space="preserve">in </w:t>
      </w:r>
      <w:r w:rsidR="008F0973" w:rsidRPr="00193869">
        <w:rPr>
          <w:i/>
          <w:iCs/>
        </w:rPr>
        <w:t>Advances in Colorimetry</w:t>
      </w:r>
      <w:r w:rsidR="008F0973">
        <w:t>,</w:t>
      </w:r>
      <w:r w:rsidR="006552A1">
        <w:t xml:space="preserve"> </w:t>
      </w:r>
      <w:r>
        <w:t xml:space="preserve">A. K. Samanta, Ed., </w:t>
      </w:r>
      <w:proofErr w:type="spellStart"/>
      <w:r>
        <w:t>IntechOpen</w:t>
      </w:r>
      <w:proofErr w:type="spellEnd"/>
      <w:r>
        <w:t>, 2024</w:t>
      </w:r>
      <w:r w:rsidR="008F0973">
        <w:t xml:space="preserve">, </w:t>
      </w:r>
      <w:proofErr w:type="spellStart"/>
      <w:r w:rsidR="008F0973">
        <w:t>doi</w:t>
      </w:r>
      <w:proofErr w:type="spellEnd"/>
      <w:r w:rsidR="008F0973">
        <w:t xml:space="preserve">: </w:t>
      </w:r>
      <w:r w:rsidR="008F0973" w:rsidRPr="008F0973">
        <w:t>10.5772/intechopen.108083.</w:t>
      </w:r>
    </w:p>
    <w:p w14:paraId="4087B8A6" w14:textId="70D29528" w:rsidR="008F0973" w:rsidRDefault="008F0973" w:rsidP="00302E85">
      <w:pPr>
        <w:pStyle w:val="IEEEReferenceItem"/>
        <w:numPr>
          <w:ilvl w:val="0"/>
          <w:numId w:val="9"/>
        </w:numPr>
        <w:ind w:left="357" w:hanging="357"/>
        <w:rPr>
          <w:szCs w:val="16"/>
          <w:lang w:val="en-ID"/>
        </w:rPr>
      </w:pPr>
      <w:r w:rsidRPr="008F0973">
        <w:rPr>
          <w:szCs w:val="16"/>
          <w:lang w:val="en-ID"/>
        </w:rPr>
        <w:t xml:space="preserve">Y. K. Shrestha and S. K. Shrestha, “Fundamentals of </w:t>
      </w:r>
      <w:r>
        <w:rPr>
          <w:szCs w:val="16"/>
          <w:lang w:val="en-ID"/>
        </w:rPr>
        <w:t>c</w:t>
      </w:r>
      <w:r w:rsidRPr="008F0973">
        <w:rPr>
          <w:szCs w:val="16"/>
          <w:lang w:val="en-ID"/>
        </w:rPr>
        <w:t xml:space="preserve">olorimetry,” in </w:t>
      </w:r>
      <w:r w:rsidRPr="00193869">
        <w:rPr>
          <w:i/>
          <w:iCs/>
          <w:szCs w:val="16"/>
          <w:lang w:val="en-ID"/>
        </w:rPr>
        <w:t>Advances in Colorimetry</w:t>
      </w:r>
      <w:r w:rsidRPr="008F0973">
        <w:rPr>
          <w:szCs w:val="16"/>
          <w:lang w:val="en-ID"/>
        </w:rPr>
        <w:t xml:space="preserve">, A. K. Samanta, Ed., </w:t>
      </w:r>
      <w:proofErr w:type="spellStart"/>
      <w:r w:rsidRPr="008F0973">
        <w:rPr>
          <w:szCs w:val="16"/>
          <w:lang w:val="en-ID"/>
        </w:rPr>
        <w:t>IntechOpen</w:t>
      </w:r>
      <w:proofErr w:type="spellEnd"/>
      <w:r w:rsidRPr="008F0973">
        <w:rPr>
          <w:szCs w:val="16"/>
          <w:lang w:val="en-ID"/>
        </w:rPr>
        <w:t xml:space="preserve">, 2024, </w:t>
      </w:r>
      <w:proofErr w:type="spellStart"/>
      <w:r w:rsidRPr="008F0973">
        <w:rPr>
          <w:szCs w:val="16"/>
          <w:lang w:val="en-ID"/>
        </w:rPr>
        <w:t>doi</w:t>
      </w:r>
      <w:proofErr w:type="spellEnd"/>
      <w:r w:rsidRPr="008F0973">
        <w:rPr>
          <w:szCs w:val="16"/>
          <w:lang w:val="en-ID"/>
        </w:rPr>
        <w:t>: 10.5772/intechopen.108083.</w:t>
      </w:r>
    </w:p>
    <w:p w14:paraId="4A876739" w14:textId="6842F1B7" w:rsidR="008F0973" w:rsidRDefault="008F0973" w:rsidP="00302E85">
      <w:pPr>
        <w:pStyle w:val="IEEEReferenceItem"/>
        <w:numPr>
          <w:ilvl w:val="0"/>
          <w:numId w:val="9"/>
        </w:numPr>
        <w:ind w:left="357" w:hanging="357"/>
        <w:rPr>
          <w:szCs w:val="16"/>
          <w:lang w:val="en-ID"/>
        </w:rPr>
      </w:pPr>
      <w:r w:rsidRPr="008F0973">
        <w:rPr>
          <w:szCs w:val="16"/>
          <w:lang w:val="en-ID"/>
        </w:rPr>
        <w:t xml:space="preserve">S. </w:t>
      </w:r>
      <w:proofErr w:type="spellStart"/>
      <w:r w:rsidRPr="008F0973">
        <w:rPr>
          <w:szCs w:val="16"/>
          <w:lang w:val="en-ID"/>
        </w:rPr>
        <w:t>Karuppaiah</w:t>
      </w:r>
      <w:proofErr w:type="spellEnd"/>
      <w:r w:rsidRPr="008F0973">
        <w:rPr>
          <w:szCs w:val="16"/>
          <w:lang w:val="en-ID"/>
        </w:rPr>
        <w:t xml:space="preserve">, N. </w:t>
      </w:r>
      <w:proofErr w:type="spellStart"/>
      <w:r w:rsidRPr="008F0973">
        <w:rPr>
          <w:szCs w:val="16"/>
          <w:lang w:val="en-ID"/>
        </w:rPr>
        <w:t>Sermugapandian</w:t>
      </w:r>
      <w:proofErr w:type="spellEnd"/>
      <w:r w:rsidRPr="008F0973">
        <w:rPr>
          <w:szCs w:val="16"/>
          <w:lang w:val="en-ID"/>
        </w:rPr>
        <w:t>, S. Mohan, and M. Krishna, “Application of UV-visible spectrophotometric colour analysis in different natural product identification</w:t>
      </w:r>
      <w:r>
        <w:rPr>
          <w:szCs w:val="16"/>
          <w:lang w:val="en-ID"/>
        </w:rPr>
        <w:t xml:space="preserve">,” </w:t>
      </w:r>
      <w:r w:rsidRPr="008F0973">
        <w:rPr>
          <w:szCs w:val="16"/>
          <w:lang w:val="en-ID"/>
        </w:rPr>
        <w:t xml:space="preserve">in </w:t>
      </w:r>
      <w:r w:rsidRPr="009A03A2">
        <w:rPr>
          <w:i/>
          <w:iCs/>
          <w:szCs w:val="16"/>
          <w:lang w:val="en-ID"/>
        </w:rPr>
        <w:t>Advances in Colorimetry</w:t>
      </w:r>
      <w:r w:rsidRPr="008F0973">
        <w:rPr>
          <w:szCs w:val="16"/>
          <w:lang w:val="en-ID"/>
        </w:rPr>
        <w:t xml:space="preserve">, A. K. Samanta, Ed., </w:t>
      </w:r>
      <w:proofErr w:type="spellStart"/>
      <w:r w:rsidRPr="008F0973">
        <w:rPr>
          <w:szCs w:val="16"/>
          <w:lang w:val="en-ID"/>
        </w:rPr>
        <w:t>IntechOpen</w:t>
      </w:r>
      <w:proofErr w:type="spellEnd"/>
      <w:r w:rsidRPr="008F0973">
        <w:rPr>
          <w:szCs w:val="16"/>
          <w:lang w:val="en-ID"/>
        </w:rPr>
        <w:t xml:space="preserve">, 2024, </w:t>
      </w:r>
      <w:proofErr w:type="spellStart"/>
      <w:r w:rsidRPr="008F0973">
        <w:rPr>
          <w:szCs w:val="16"/>
          <w:lang w:val="en-ID"/>
        </w:rPr>
        <w:t>doi</w:t>
      </w:r>
      <w:proofErr w:type="spellEnd"/>
      <w:r w:rsidRPr="008F0973">
        <w:rPr>
          <w:szCs w:val="16"/>
          <w:lang w:val="en-ID"/>
        </w:rPr>
        <w:t>: 10.5772/intechopen.108083.</w:t>
      </w:r>
    </w:p>
    <w:p w14:paraId="7DAEE7E2" w14:textId="0B7E5F85" w:rsidR="00051088" w:rsidRDefault="00000000" w:rsidP="00302E85">
      <w:pPr>
        <w:pStyle w:val="IEEEReferenceItem"/>
        <w:numPr>
          <w:ilvl w:val="0"/>
          <w:numId w:val="9"/>
        </w:numPr>
        <w:ind w:left="357" w:hanging="357"/>
        <w:rPr>
          <w:szCs w:val="16"/>
          <w:lang w:val="en-ID"/>
        </w:rPr>
      </w:pPr>
      <w:r>
        <w:rPr>
          <w:szCs w:val="16"/>
          <w:lang w:val="en-ID"/>
        </w:rPr>
        <w:t xml:space="preserve">Y. Wu, J. Feng, G. Hu, E. Zhang, and H.-H. Yu, “Colorimetric sensors for chemical and biological sensing applications,” </w:t>
      </w:r>
      <w:r w:rsidRPr="006552A1">
        <w:rPr>
          <w:i/>
          <w:iCs/>
          <w:szCs w:val="16"/>
          <w:lang w:val="en-ID"/>
        </w:rPr>
        <w:t>Sensors</w:t>
      </w:r>
      <w:r>
        <w:rPr>
          <w:szCs w:val="16"/>
          <w:lang w:val="en-ID"/>
        </w:rPr>
        <w:t xml:space="preserve">, vol. 23, no. 5, Mar. 2023, </w:t>
      </w:r>
      <w:proofErr w:type="spellStart"/>
      <w:r>
        <w:rPr>
          <w:szCs w:val="16"/>
          <w:lang w:val="en-ID"/>
        </w:rPr>
        <w:t>doi</w:t>
      </w:r>
      <w:proofErr w:type="spellEnd"/>
      <w:r>
        <w:rPr>
          <w:szCs w:val="16"/>
          <w:lang w:val="en-ID"/>
        </w:rPr>
        <w:t>: 10.3390/s23052749.</w:t>
      </w:r>
    </w:p>
    <w:p w14:paraId="3A02C6FB" w14:textId="33D1FEF7" w:rsidR="00051088" w:rsidRDefault="00000000" w:rsidP="00302E85">
      <w:pPr>
        <w:pStyle w:val="IEEEReferenceItem"/>
        <w:numPr>
          <w:ilvl w:val="0"/>
          <w:numId w:val="9"/>
        </w:numPr>
        <w:ind w:left="357" w:hanging="357"/>
        <w:rPr>
          <w:szCs w:val="16"/>
          <w:lang w:val="en-ID"/>
        </w:rPr>
      </w:pPr>
      <w:r>
        <w:rPr>
          <w:szCs w:val="16"/>
          <w:lang w:val="en-ID"/>
        </w:rPr>
        <w:t xml:space="preserve">Y. Xing et al., “A </w:t>
      </w:r>
      <w:proofErr w:type="spellStart"/>
      <w:r>
        <w:rPr>
          <w:szCs w:val="16"/>
          <w:lang w:val="en-ID"/>
        </w:rPr>
        <w:t>cellphone</w:t>
      </w:r>
      <w:proofErr w:type="spellEnd"/>
      <w:r>
        <w:rPr>
          <w:szCs w:val="16"/>
          <w:lang w:val="en-ID"/>
        </w:rPr>
        <w:t xml:space="preserve">-based colorimetric multi-channel sensor for water environmental monitoring,” </w:t>
      </w:r>
      <w:r>
        <w:rPr>
          <w:i/>
          <w:iCs/>
          <w:szCs w:val="16"/>
          <w:lang w:val="en-ID"/>
        </w:rPr>
        <w:t>Front. Environ. Sci. Eng.</w:t>
      </w:r>
      <w:r>
        <w:rPr>
          <w:szCs w:val="16"/>
          <w:lang w:val="en-ID"/>
        </w:rPr>
        <w:t>, vol. 16, no. 12, Jun. 2022, doi:10.1007/s11783-022-1590-z </w:t>
      </w:r>
    </w:p>
    <w:p w14:paraId="17986B05" w14:textId="77777777" w:rsidR="00051088" w:rsidRDefault="00000000" w:rsidP="00302E85">
      <w:pPr>
        <w:pStyle w:val="IEEEReferenceItem"/>
        <w:numPr>
          <w:ilvl w:val="0"/>
          <w:numId w:val="9"/>
        </w:numPr>
        <w:ind w:left="357" w:hanging="357"/>
        <w:rPr>
          <w:szCs w:val="16"/>
          <w:lang w:val="en-ID"/>
        </w:rPr>
      </w:pPr>
      <w:r>
        <w:rPr>
          <w:szCs w:val="16"/>
          <w:lang w:val="en-ID"/>
        </w:rPr>
        <w:t xml:space="preserve">T. Kant et al., “Progress in the design of portable colorimetric chemical sensing devices,” </w:t>
      </w:r>
      <w:r w:rsidRPr="006552A1">
        <w:rPr>
          <w:i/>
          <w:iCs/>
          <w:szCs w:val="16"/>
          <w:lang w:val="en-ID"/>
        </w:rPr>
        <w:t>Nanoscale</w:t>
      </w:r>
      <w:r>
        <w:rPr>
          <w:szCs w:val="16"/>
          <w:lang w:val="en-ID"/>
        </w:rPr>
        <w:t>, vol. 15, no. 47, pp. 19016–19038, 2023. doi:10.1039/d3nr03803c</w:t>
      </w:r>
    </w:p>
    <w:p w14:paraId="4D4E5E81" w14:textId="0E00D220" w:rsidR="00051088" w:rsidRDefault="00000000" w:rsidP="00302E85">
      <w:pPr>
        <w:pStyle w:val="IEEEReferenceItem"/>
        <w:numPr>
          <w:ilvl w:val="0"/>
          <w:numId w:val="9"/>
        </w:numPr>
        <w:ind w:left="357" w:hanging="357"/>
        <w:rPr>
          <w:szCs w:val="16"/>
          <w:lang w:val="en-ID"/>
        </w:rPr>
      </w:pPr>
      <w:r>
        <w:rPr>
          <w:szCs w:val="16"/>
          <w:lang w:val="en-ID"/>
        </w:rPr>
        <w:t xml:space="preserve">M. Nixon, F. Outlaw, and T. S. Leung, “Accurate device-independent colorimetric measurements using smartphones,” </w:t>
      </w:r>
      <w:proofErr w:type="spellStart"/>
      <w:r w:rsidRPr="006552A1">
        <w:rPr>
          <w:i/>
          <w:iCs/>
          <w:szCs w:val="16"/>
          <w:lang w:val="en-ID"/>
        </w:rPr>
        <w:t>PLoS</w:t>
      </w:r>
      <w:proofErr w:type="spellEnd"/>
      <w:r w:rsidRPr="006552A1">
        <w:rPr>
          <w:i/>
          <w:iCs/>
          <w:szCs w:val="16"/>
          <w:lang w:val="en-ID"/>
        </w:rPr>
        <w:t xml:space="preserve"> One</w:t>
      </w:r>
      <w:r>
        <w:rPr>
          <w:szCs w:val="16"/>
          <w:lang w:val="en-ID"/>
        </w:rPr>
        <w:t xml:space="preserve">, vol. 15, no. 3, Mar. 2020, </w:t>
      </w:r>
      <w:proofErr w:type="spellStart"/>
      <w:r>
        <w:rPr>
          <w:szCs w:val="16"/>
          <w:lang w:val="en-ID"/>
        </w:rPr>
        <w:t>doi</w:t>
      </w:r>
      <w:proofErr w:type="spellEnd"/>
      <w:r>
        <w:rPr>
          <w:szCs w:val="16"/>
          <w:lang w:val="en-ID"/>
        </w:rPr>
        <w:t>: 10.1371/journal.pone.0230561.</w:t>
      </w:r>
    </w:p>
    <w:p w14:paraId="528C63D6" w14:textId="6A0E493A" w:rsidR="00051088" w:rsidRDefault="00000000" w:rsidP="00302E85">
      <w:pPr>
        <w:pStyle w:val="IEEEReferenceItem"/>
        <w:numPr>
          <w:ilvl w:val="0"/>
          <w:numId w:val="9"/>
        </w:numPr>
        <w:ind w:left="357" w:hanging="357"/>
        <w:rPr>
          <w:szCs w:val="16"/>
          <w:lang w:val="en-ID"/>
        </w:rPr>
      </w:pPr>
      <w:r>
        <w:rPr>
          <w:szCs w:val="16"/>
          <w:lang w:val="en-ID"/>
        </w:rPr>
        <w:t xml:space="preserve">S. Balbach et al., “Smartphone-based colorimetric detection system for portable health tracking,” </w:t>
      </w:r>
      <w:r>
        <w:rPr>
          <w:i/>
          <w:iCs/>
          <w:szCs w:val="16"/>
          <w:lang w:val="en-ID"/>
        </w:rPr>
        <w:t xml:space="preserve">Anal. </w:t>
      </w:r>
      <w:r w:rsidRPr="006552A1">
        <w:rPr>
          <w:i/>
          <w:iCs/>
          <w:szCs w:val="16"/>
          <w:lang w:val="en-ID"/>
        </w:rPr>
        <w:t>Methods</w:t>
      </w:r>
      <w:r>
        <w:rPr>
          <w:szCs w:val="16"/>
          <w:lang w:val="en-ID"/>
        </w:rPr>
        <w:t>, vol. 13, no. 38, pp. 4361–4369, 2021, doi:10.1039/d1ay01209f. </w:t>
      </w:r>
    </w:p>
    <w:p w14:paraId="6EDEF4F0" w14:textId="1FF8A4E8" w:rsidR="00051088" w:rsidRDefault="00000000" w:rsidP="00302E85">
      <w:pPr>
        <w:pStyle w:val="IEEEReferenceItem"/>
        <w:numPr>
          <w:ilvl w:val="0"/>
          <w:numId w:val="9"/>
        </w:numPr>
        <w:ind w:left="357" w:hanging="357"/>
        <w:rPr>
          <w:szCs w:val="16"/>
          <w:lang w:val="en-ID"/>
        </w:rPr>
      </w:pPr>
      <w:r>
        <w:rPr>
          <w:szCs w:val="16"/>
          <w:lang w:val="en-ID"/>
        </w:rPr>
        <w:t xml:space="preserve">T. </w:t>
      </w:r>
      <w:proofErr w:type="spellStart"/>
      <w:r>
        <w:rPr>
          <w:szCs w:val="16"/>
          <w:lang w:val="en-ID"/>
        </w:rPr>
        <w:t>Sahare</w:t>
      </w:r>
      <w:proofErr w:type="spellEnd"/>
      <w:r>
        <w:rPr>
          <w:szCs w:val="16"/>
          <w:lang w:val="en-ID"/>
        </w:rPr>
        <w:t xml:space="preserve">, B. N. Sahoo, S. Rana, and A. Joshi, “Smartphone-based colorimetric protein sensor platform utilizing an ambient ring light setup for urinary protein detection,” </w:t>
      </w:r>
      <w:proofErr w:type="spellStart"/>
      <w:r w:rsidRPr="006D0E12">
        <w:rPr>
          <w:i/>
          <w:iCs/>
          <w:szCs w:val="16"/>
          <w:lang w:val="en-ID"/>
        </w:rPr>
        <w:t>Microchem</w:t>
      </w:r>
      <w:proofErr w:type="spellEnd"/>
      <w:r w:rsidR="006D0E12" w:rsidRPr="006D0E12">
        <w:rPr>
          <w:i/>
          <w:iCs/>
          <w:szCs w:val="16"/>
          <w:lang w:val="en-ID"/>
        </w:rPr>
        <w:t xml:space="preserve">. </w:t>
      </w:r>
      <w:r w:rsidRPr="006D0E12">
        <w:rPr>
          <w:i/>
          <w:iCs/>
          <w:szCs w:val="16"/>
          <w:lang w:val="en-ID"/>
        </w:rPr>
        <w:t>J</w:t>
      </w:r>
      <w:r>
        <w:rPr>
          <w:szCs w:val="16"/>
          <w:lang w:val="en-ID"/>
        </w:rPr>
        <w:t xml:space="preserve">, vol. 208, Jan. 2025, Art. no. </w:t>
      </w:r>
      <w:proofErr w:type="gramStart"/>
      <w:r>
        <w:rPr>
          <w:szCs w:val="16"/>
          <w:lang w:val="en-ID"/>
        </w:rPr>
        <w:t>112527,  doi</w:t>
      </w:r>
      <w:proofErr w:type="gramEnd"/>
      <w:r>
        <w:rPr>
          <w:szCs w:val="16"/>
          <w:lang w:val="en-ID"/>
        </w:rPr>
        <w:t>:10.1016/j.microc.2024.112527. </w:t>
      </w:r>
    </w:p>
    <w:p w14:paraId="7A67801D" w14:textId="5089D188" w:rsidR="00051088" w:rsidRDefault="00000000" w:rsidP="00302E85">
      <w:pPr>
        <w:pStyle w:val="IEEEReferenceItem"/>
        <w:numPr>
          <w:ilvl w:val="0"/>
          <w:numId w:val="9"/>
        </w:numPr>
        <w:ind w:left="357" w:hanging="357"/>
        <w:rPr>
          <w:szCs w:val="16"/>
          <w:lang w:val="en-ID"/>
        </w:rPr>
      </w:pPr>
      <w:r>
        <w:rPr>
          <w:szCs w:val="16"/>
          <w:lang w:val="en-ID"/>
        </w:rPr>
        <w:t xml:space="preserve">R. Mansour, C. </w:t>
      </w:r>
      <w:proofErr w:type="spellStart"/>
      <w:r>
        <w:rPr>
          <w:szCs w:val="16"/>
          <w:lang w:val="en-ID"/>
        </w:rPr>
        <w:t>Serafinelli</w:t>
      </w:r>
      <w:proofErr w:type="spellEnd"/>
      <w:r>
        <w:rPr>
          <w:szCs w:val="16"/>
          <w:lang w:val="en-ID"/>
        </w:rPr>
        <w:t xml:space="preserve">, R. Jesus, and A. Fantoni, “Mobile platform for continuous screening of clear water quality using colorimetric plasmonic sensing,” </w:t>
      </w:r>
      <w:r w:rsidRPr="006552A1">
        <w:rPr>
          <w:i/>
          <w:iCs/>
          <w:szCs w:val="16"/>
          <w:lang w:val="en-ID"/>
        </w:rPr>
        <w:t>Information</w:t>
      </w:r>
      <w:r>
        <w:rPr>
          <w:szCs w:val="16"/>
          <w:lang w:val="en-ID"/>
        </w:rPr>
        <w:t xml:space="preserve">, vol. 16, no. </w:t>
      </w:r>
      <w:proofErr w:type="gramStart"/>
      <w:r>
        <w:rPr>
          <w:szCs w:val="16"/>
          <w:lang w:val="en-ID"/>
        </w:rPr>
        <w:t>8,  Aug.</w:t>
      </w:r>
      <w:proofErr w:type="gramEnd"/>
      <w:r>
        <w:rPr>
          <w:szCs w:val="16"/>
          <w:lang w:val="en-ID"/>
        </w:rPr>
        <w:t xml:space="preserve"> 2025, doi:10.3390/info16080683. </w:t>
      </w:r>
    </w:p>
    <w:p w14:paraId="6FAACC26" w14:textId="397327DB" w:rsidR="00051088" w:rsidRDefault="00000000" w:rsidP="00302E85">
      <w:pPr>
        <w:pStyle w:val="IEEEReferenceItem"/>
        <w:numPr>
          <w:ilvl w:val="0"/>
          <w:numId w:val="9"/>
        </w:numPr>
        <w:ind w:left="357" w:hanging="357"/>
        <w:rPr>
          <w:szCs w:val="16"/>
          <w:lang w:val="en-ID"/>
        </w:rPr>
      </w:pPr>
      <w:r>
        <w:rPr>
          <w:szCs w:val="16"/>
          <w:lang w:val="en-ID"/>
        </w:rPr>
        <w:t xml:space="preserve">H. Guan, S. Du, B. Han, Q. Zhang, and D. Wang, “A rapid and sensitive smartphone colorimetric sensor for detection of ascorbic acid in food using the nanozyme paper-based microfluidic chip,” </w:t>
      </w:r>
      <w:r w:rsidRPr="006552A1">
        <w:rPr>
          <w:i/>
          <w:iCs/>
          <w:szCs w:val="16"/>
          <w:lang w:val="en-ID"/>
        </w:rPr>
        <w:t>LWT</w:t>
      </w:r>
      <w:r>
        <w:rPr>
          <w:szCs w:val="16"/>
          <w:lang w:val="en-ID"/>
        </w:rPr>
        <w:t xml:space="preserve">, vol. 184, Jul. 2023, </w:t>
      </w:r>
      <w:proofErr w:type="spellStart"/>
      <w:r>
        <w:rPr>
          <w:szCs w:val="16"/>
          <w:lang w:val="en-ID"/>
        </w:rPr>
        <w:t>doi</w:t>
      </w:r>
      <w:proofErr w:type="spellEnd"/>
      <w:r>
        <w:rPr>
          <w:szCs w:val="16"/>
          <w:lang w:val="en-ID"/>
        </w:rPr>
        <w:t>: 10.1016/j.lwt.2023.115043. </w:t>
      </w:r>
    </w:p>
    <w:p w14:paraId="0666B223" w14:textId="11CCCCE3" w:rsidR="00051088" w:rsidRDefault="00000000" w:rsidP="00302E85">
      <w:pPr>
        <w:pStyle w:val="IEEEReferenceItem"/>
        <w:numPr>
          <w:ilvl w:val="0"/>
          <w:numId w:val="9"/>
        </w:numPr>
        <w:ind w:left="357" w:hanging="357"/>
        <w:rPr>
          <w:szCs w:val="16"/>
          <w:lang w:val="en-ID"/>
        </w:rPr>
      </w:pPr>
      <w:r>
        <w:rPr>
          <w:szCs w:val="16"/>
          <w:lang w:val="en-ID"/>
        </w:rPr>
        <w:t xml:space="preserve">G. M. S. Ross et al., “Best practices and current implementation of emerging smartphone-based (bio)sensors – part 1: Data handling and ethics,” </w:t>
      </w:r>
      <w:proofErr w:type="spellStart"/>
      <w:r w:rsidRPr="006552A1">
        <w:rPr>
          <w:i/>
          <w:iCs/>
          <w:szCs w:val="16"/>
          <w:lang w:val="en-ID"/>
        </w:rPr>
        <w:t>TrAC</w:t>
      </w:r>
      <w:proofErr w:type="spellEnd"/>
      <w:r w:rsidRPr="006552A1">
        <w:rPr>
          <w:i/>
          <w:iCs/>
          <w:szCs w:val="16"/>
          <w:lang w:val="en-ID"/>
        </w:rPr>
        <w:t xml:space="preserve"> Trends Anal</w:t>
      </w:r>
      <w:r>
        <w:rPr>
          <w:i/>
          <w:iCs/>
          <w:szCs w:val="16"/>
          <w:lang w:val="en-ID"/>
        </w:rPr>
        <w:t>.</w:t>
      </w:r>
      <w:r w:rsidRPr="006552A1">
        <w:rPr>
          <w:i/>
          <w:iCs/>
          <w:szCs w:val="16"/>
          <w:lang w:val="en-ID"/>
        </w:rPr>
        <w:t xml:space="preserve"> </w:t>
      </w:r>
      <w:r>
        <w:rPr>
          <w:i/>
          <w:iCs/>
          <w:szCs w:val="16"/>
          <w:lang w:val="en-ID"/>
        </w:rPr>
        <w:t>Chem.</w:t>
      </w:r>
      <w:r>
        <w:rPr>
          <w:szCs w:val="16"/>
          <w:lang w:val="en-ID"/>
        </w:rPr>
        <w:t xml:space="preserve">, vol. 158, Jan. 2023, </w:t>
      </w:r>
      <w:proofErr w:type="spellStart"/>
      <w:r>
        <w:rPr>
          <w:szCs w:val="16"/>
          <w:lang w:val="en-ID"/>
        </w:rPr>
        <w:t>doi</w:t>
      </w:r>
      <w:proofErr w:type="spellEnd"/>
      <w:r>
        <w:rPr>
          <w:szCs w:val="16"/>
          <w:lang w:val="en-ID"/>
        </w:rPr>
        <w:t>: 10.1016/j.trac.2022.116863. </w:t>
      </w:r>
    </w:p>
    <w:p w14:paraId="2CCCA496" w14:textId="78DCC926" w:rsidR="00051088" w:rsidRDefault="00000000" w:rsidP="00302E85">
      <w:pPr>
        <w:pStyle w:val="IEEEReferenceItem"/>
        <w:numPr>
          <w:ilvl w:val="0"/>
          <w:numId w:val="9"/>
        </w:numPr>
        <w:ind w:left="357" w:hanging="357"/>
        <w:rPr>
          <w:szCs w:val="16"/>
          <w:lang w:val="en-ID"/>
        </w:rPr>
      </w:pPr>
      <w:r>
        <w:rPr>
          <w:szCs w:val="16"/>
          <w:lang w:val="en-ID"/>
        </w:rPr>
        <w:t xml:space="preserve">S. H. Elagamy, L. Adly, and M. A. A. Hamid, “Smartphone based colorimetric approach for quantitative determination of uric acid using image J,” </w:t>
      </w:r>
      <w:r>
        <w:rPr>
          <w:i/>
          <w:iCs/>
          <w:szCs w:val="16"/>
          <w:lang w:val="en-ID"/>
        </w:rPr>
        <w:t>Sci. Rep.</w:t>
      </w:r>
      <w:r>
        <w:rPr>
          <w:szCs w:val="16"/>
          <w:lang w:val="en-ID"/>
        </w:rPr>
        <w:t xml:space="preserve">, vol. 13, no. 1, Dec. 2023, </w:t>
      </w:r>
      <w:proofErr w:type="spellStart"/>
      <w:r>
        <w:rPr>
          <w:szCs w:val="16"/>
          <w:lang w:val="en-ID"/>
        </w:rPr>
        <w:t>doi</w:t>
      </w:r>
      <w:proofErr w:type="spellEnd"/>
      <w:r>
        <w:rPr>
          <w:szCs w:val="16"/>
          <w:lang w:val="en-ID"/>
        </w:rPr>
        <w:t>: 10.1038/s41598-023-48962-0. </w:t>
      </w:r>
    </w:p>
    <w:p w14:paraId="41D2C6FD" w14:textId="27E3934B" w:rsidR="00051088" w:rsidRDefault="00000000" w:rsidP="00302E85">
      <w:pPr>
        <w:pStyle w:val="IEEEReferenceItem"/>
        <w:numPr>
          <w:ilvl w:val="0"/>
          <w:numId w:val="9"/>
        </w:numPr>
        <w:ind w:left="357" w:hanging="357"/>
        <w:rPr>
          <w:szCs w:val="16"/>
          <w:lang w:val="en-ID"/>
        </w:rPr>
      </w:pPr>
      <w:r>
        <w:rPr>
          <w:szCs w:val="16"/>
          <w:lang w:val="en-ID"/>
        </w:rPr>
        <w:t xml:space="preserve">A. A. Ramírez-Coronel et al., “Smartphone-facilitated mobile colorimetric probes for rapid monitoring of chemical contaminations in food: Advances and outlook,” </w:t>
      </w:r>
      <w:r>
        <w:rPr>
          <w:i/>
          <w:iCs/>
          <w:szCs w:val="16"/>
          <w:lang w:val="en-ID"/>
        </w:rPr>
        <w:t>Crit. Rev. Anal. Chem.</w:t>
      </w:r>
      <w:r>
        <w:rPr>
          <w:szCs w:val="16"/>
          <w:lang w:val="en-ID"/>
        </w:rPr>
        <w:t>, vol. 54, no. 7, pp. 2290–2308, 2024, doi:10.1080/10408347.2022.2164173. </w:t>
      </w:r>
    </w:p>
    <w:p w14:paraId="4E28B01A" w14:textId="082DC6A4" w:rsidR="00051088" w:rsidRDefault="00000000" w:rsidP="00302E85">
      <w:pPr>
        <w:pStyle w:val="IEEEReferenceItem"/>
        <w:numPr>
          <w:ilvl w:val="0"/>
          <w:numId w:val="9"/>
        </w:numPr>
        <w:ind w:left="357" w:hanging="357"/>
        <w:rPr>
          <w:szCs w:val="16"/>
          <w:lang w:val="en-ID"/>
        </w:rPr>
      </w:pPr>
      <w:r>
        <w:rPr>
          <w:szCs w:val="16"/>
          <w:lang w:val="en-ID"/>
        </w:rPr>
        <w:t xml:space="preserve">T. </w:t>
      </w:r>
      <w:proofErr w:type="spellStart"/>
      <w:r>
        <w:rPr>
          <w:szCs w:val="16"/>
          <w:lang w:val="en-ID"/>
        </w:rPr>
        <w:t>Gölcez</w:t>
      </w:r>
      <w:proofErr w:type="spellEnd"/>
      <w:r>
        <w:rPr>
          <w:szCs w:val="16"/>
          <w:lang w:val="en-ID"/>
        </w:rPr>
        <w:t xml:space="preserve">, V. Kiliç, and M. Şen, “A portable smartphone-based platform with an offline image-processing tool for the rapid paper-based colorimetric detection of glucose in artificial saliva,” </w:t>
      </w:r>
      <w:r w:rsidRPr="006552A1">
        <w:rPr>
          <w:i/>
          <w:iCs/>
          <w:szCs w:val="16"/>
          <w:lang w:val="en-ID"/>
        </w:rPr>
        <w:t>Anal</w:t>
      </w:r>
      <w:r>
        <w:rPr>
          <w:i/>
          <w:iCs/>
          <w:szCs w:val="16"/>
          <w:lang w:val="en-ID"/>
        </w:rPr>
        <w:t xml:space="preserve">. </w:t>
      </w:r>
      <w:r w:rsidRPr="006552A1">
        <w:rPr>
          <w:i/>
          <w:iCs/>
          <w:szCs w:val="16"/>
          <w:lang w:val="en-ID"/>
        </w:rPr>
        <w:t>Sci</w:t>
      </w:r>
      <w:r>
        <w:rPr>
          <w:i/>
          <w:iCs/>
          <w:szCs w:val="16"/>
          <w:lang w:val="en-ID"/>
        </w:rPr>
        <w:t>.</w:t>
      </w:r>
      <w:r>
        <w:rPr>
          <w:szCs w:val="16"/>
          <w:lang w:val="en-ID"/>
        </w:rPr>
        <w:t>, vol. 37, no. 4, pp. 561–567, Oct. 2020. doi:10.2116/analsci.20p262. </w:t>
      </w:r>
    </w:p>
    <w:p w14:paraId="09F8A745" w14:textId="491DA8D8" w:rsidR="00051088" w:rsidRDefault="00000000" w:rsidP="00302E85">
      <w:pPr>
        <w:pStyle w:val="IEEEReferenceItem"/>
        <w:numPr>
          <w:ilvl w:val="0"/>
          <w:numId w:val="9"/>
        </w:numPr>
        <w:ind w:left="357" w:hanging="357"/>
        <w:rPr>
          <w:szCs w:val="16"/>
          <w:lang w:val="en-ID"/>
        </w:rPr>
      </w:pPr>
      <w:r>
        <w:rPr>
          <w:szCs w:val="16"/>
          <w:lang w:val="en-ID"/>
        </w:rPr>
        <w:t xml:space="preserve">T. Alawsi, G. P. Mattia, Z. Al-Bawi, and R. Beraldi, “Smartphone-based colorimetric sensor application for measuring biochemical material concentration,” </w:t>
      </w:r>
      <w:r w:rsidRPr="006552A1">
        <w:rPr>
          <w:i/>
          <w:iCs/>
          <w:szCs w:val="16"/>
          <w:lang w:val="en-ID"/>
        </w:rPr>
        <w:t>Sens</w:t>
      </w:r>
      <w:r>
        <w:rPr>
          <w:i/>
          <w:iCs/>
          <w:szCs w:val="16"/>
          <w:lang w:val="en-ID"/>
        </w:rPr>
        <w:t>.</w:t>
      </w:r>
      <w:r w:rsidRPr="006552A1">
        <w:rPr>
          <w:i/>
          <w:iCs/>
          <w:szCs w:val="16"/>
          <w:lang w:val="en-ID"/>
        </w:rPr>
        <w:t xml:space="preserve"> Bio-Sens</w:t>
      </w:r>
      <w:r>
        <w:rPr>
          <w:i/>
          <w:iCs/>
          <w:szCs w:val="16"/>
          <w:lang w:val="en-ID"/>
        </w:rPr>
        <w:t>.</w:t>
      </w:r>
      <w:r w:rsidRPr="006552A1">
        <w:rPr>
          <w:i/>
          <w:iCs/>
          <w:szCs w:val="16"/>
          <w:lang w:val="en-ID"/>
        </w:rPr>
        <w:t xml:space="preserve"> Res</w:t>
      </w:r>
      <w:r>
        <w:rPr>
          <w:i/>
          <w:iCs/>
          <w:szCs w:val="16"/>
          <w:lang w:val="en-ID"/>
        </w:rPr>
        <w:t>.</w:t>
      </w:r>
      <w:r>
        <w:rPr>
          <w:szCs w:val="16"/>
          <w:lang w:val="en-ID"/>
        </w:rPr>
        <w:t xml:space="preserve">, vol. 32, Jun. 2021, </w:t>
      </w:r>
      <w:proofErr w:type="spellStart"/>
      <w:r>
        <w:rPr>
          <w:szCs w:val="16"/>
          <w:lang w:val="en-ID"/>
        </w:rPr>
        <w:t>doi</w:t>
      </w:r>
      <w:proofErr w:type="spellEnd"/>
      <w:r>
        <w:rPr>
          <w:szCs w:val="16"/>
          <w:lang w:val="en-ID"/>
        </w:rPr>
        <w:t>: 10.1016/j.sbsr.2021.100404. </w:t>
      </w:r>
    </w:p>
    <w:p w14:paraId="2335C308" w14:textId="11E351FE" w:rsidR="00051088" w:rsidRDefault="00000000" w:rsidP="00302E85">
      <w:pPr>
        <w:pStyle w:val="IEEEReferenceItem"/>
        <w:numPr>
          <w:ilvl w:val="0"/>
          <w:numId w:val="9"/>
        </w:numPr>
        <w:ind w:left="357" w:hanging="357"/>
        <w:rPr>
          <w:szCs w:val="16"/>
          <w:lang w:val="en-ID"/>
        </w:rPr>
      </w:pPr>
      <w:r>
        <w:rPr>
          <w:szCs w:val="16"/>
          <w:lang w:val="en-ID"/>
        </w:rPr>
        <w:t xml:space="preserve">B. J. Winters et al., “3D-printable and open-source modular smartphone visible spectrophotometer,” </w:t>
      </w:r>
      <w:proofErr w:type="spellStart"/>
      <w:r w:rsidRPr="006552A1">
        <w:rPr>
          <w:i/>
          <w:iCs/>
          <w:szCs w:val="16"/>
          <w:lang w:val="en-ID"/>
        </w:rPr>
        <w:t>HardwareX</w:t>
      </w:r>
      <w:proofErr w:type="spellEnd"/>
      <w:r>
        <w:rPr>
          <w:szCs w:val="16"/>
          <w:lang w:val="en-ID"/>
        </w:rPr>
        <w:t xml:space="preserve">, vol. 10, Oct. 2021, </w:t>
      </w:r>
      <w:proofErr w:type="gramStart"/>
      <w:r>
        <w:rPr>
          <w:szCs w:val="16"/>
          <w:lang w:val="en-ID"/>
        </w:rPr>
        <w:t>doi:10.1016/j.ohx</w:t>
      </w:r>
      <w:proofErr w:type="gramEnd"/>
      <w:r>
        <w:rPr>
          <w:szCs w:val="16"/>
          <w:lang w:val="en-ID"/>
        </w:rPr>
        <w:t>.2021.e00232. </w:t>
      </w:r>
    </w:p>
    <w:p w14:paraId="6087CFE3" w14:textId="657EE4CB" w:rsidR="00051088" w:rsidRDefault="00000000" w:rsidP="00302E85">
      <w:pPr>
        <w:pStyle w:val="IEEEReferenceItem"/>
        <w:numPr>
          <w:ilvl w:val="0"/>
          <w:numId w:val="9"/>
        </w:numPr>
        <w:ind w:left="357" w:hanging="357"/>
        <w:rPr>
          <w:szCs w:val="16"/>
          <w:lang w:val="en-ID"/>
        </w:rPr>
      </w:pPr>
      <w:r>
        <w:rPr>
          <w:szCs w:val="16"/>
          <w:lang w:val="en-ID"/>
        </w:rPr>
        <w:t xml:space="preserve">T. Alawsi, Z. </w:t>
      </w:r>
      <w:proofErr w:type="spellStart"/>
      <w:r>
        <w:rPr>
          <w:szCs w:val="16"/>
          <w:lang w:val="en-ID"/>
        </w:rPr>
        <w:t>Albawi</w:t>
      </w:r>
      <w:proofErr w:type="spellEnd"/>
      <w:r>
        <w:rPr>
          <w:szCs w:val="16"/>
          <w:lang w:val="en-ID"/>
        </w:rPr>
        <w:t xml:space="preserve">, R. Beraldi, G. P. Mattia, and R. Faris, “A custom 3D printed design of smartphone-based adapter for colorimetric biomarker concentration measurements,” Jul. 2023, </w:t>
      </w:r>
      <w:r>
        <w:rPr>
          <w:i/>
          <w:iCs/>
          <w:szCs w:val="16"/>
          <w:lang w:val="en-ID"/>
        </w:rPr>
        <w:t>OpticaOpen:107479</w:t>
      </w:r>
      <w:r>
        <w:rPr>
          <w:szCs w:val="16"/>
          <w:lang w:val="en-ID"/>
        </w:rPr>
        <w:t>, doi:10.1364/</w:t>
      </w:r>
      <w:proofErr w:type="gramStart"/>
      <w:r>
        <w:rPr>
          <w:szCs w:val="16"/>
          <w:lang w:val="en-ID"/>
        </w:rPr>
        <w:t>opticaopen.23636244.v</w:t>
      </w:r>
      <w:proofErr w:type="gramEnd"/>
      <w:r>
        <w:rPr>
          <w:szCs w:val="16"/>
          <w:lang w:val="en-ID"/>
        </w:rPr>
        <w:t>1. </w:t>
      </w:r>
    </w:p>
    <w:p w14:paraId="553F2A54" w14:textId="77777777" w:rsidR="00051088" w:rsidRDefault="00000000" w:rsidP="00302E85">
      <w:pPr>
        <w:pStyle w:val="IEEEReferenceItem"/>
        <w:numPr>
          <w:ilvl w:val="0"/>
          <w:numId w:val="9"/>
        </w:numPr>
        <w:ind w:left="357" w:hanging="357"/>
        <w:rPr>
          <w:szCs w:val="16"/>
          <w:lang w:val="en-ID"/>
        </w:rPr>
      </w:pPr>
      <w:r>
        <w:rPr>
          <w:szCs w:val="16"/>
          <w:lang w:val="en-ID"/>
        </w:rPr>
        <w:t xml:space="preserve">J. Chen et al., “Inclusive and accurate clinical diagnostics using intelligent computation and smartphone imaging,” </w:t>
      </w:r>
      <w:r w:rsidRPr="006552A1">
        <w:rPr>
          <w:i/>
          <w:iCs/>
          <w:szCs w:val="16"/>
          <w:lang w:val="en-ID"/>
        </w:rPr>
        <w:t>ACS Sensors</w:t>
      </w:r>
      <w:r>
        <w:rPr>
          <w:szCs w:val="16"/>
          <w:lang w:val="en-ID"/>
        </w:rPr>
        <w:t>, vol. 9, no. 10, pp. 5342–5353, Oct. 2024. doi:10.1021/acssensors.4c01588.</w:t>
      </w:r>
    </w:p>
    <w:p w14:paraId="7347C3CF" w14:textId="23F9BD57" w:rsidR="00051088" w:rsidRDefault="00000000" w:rsidP="00302E85">
      <w:pPr>
        <w:pStyle w:val="IEEEReferenceItem"/>
        <w:numPr>
          <w:ilvl w:val="0"/>
          <w:numId w:val="9"/>
        </w:numPr>
        <w:ind w:left="357" w:hanging="357"/>
        <w:rPr>
          <w:szCs w:val="16"/>
          <w:lang w:val="en-ID"/>
        </w:rPr>
      </w:pPr>
      <w:r>
        <w:rPr>
          <w:szCs w:val="16"/>
          <w:lang w:val="en-ID"/>
        </w:rPr>
        <w:t xml:space="preserve">A. Horta-Velázquez, G. Ramos-Ortiz, and E. Morales-Narváez, “The optimal </w:t>
      </w:r>
      <w:proofErr w:type="spellStart"/>
      <w:r>
        <w:rPr>
          <w:szCs w:val="16"/>
          <w:lang w:val="en-ID"/>
        </w:rPr>
        <w:t>color</w:t>
      </w:r>
      <w:proofErr w:type="spellEnd"/>
      <w:r>
        <w:rPr>
          <w:szCs w:val="16"/>
          <w:lang w:val="en-ID"/>
        </w:rPr>
        <w:t xml:space="preserve"> space enables advantageous smartphone-based colorimetric sensing,” </w:t>
      </w:r>
      <w:proofErr w:type="spellStart"/>
      <w:r>
        <w:rPr>
          <w:i/>
          <w:iCs/>
          <w:szCs w:val="16"/>
          <w:lang w:val="en-ID"/>
        </w:rPr>
        <w:t>Biosens</w:t>
      </w:r>
      <w:proofErr w:type="spellEnd"/>
      <w:r>
        <w:rPr>
          <w:i/>
          <w:iCs/>
          <w:szCs w:val="16"/>
          <w:lang w:val="en-ID"/>
        </w:rPr>
        <w:t xml:space="preserve">. </w:t>
      </w:r>
      <w:proofErr w:type="spellStart"/>
      <w:r w:rsidRPr="006552A1">
        <w:rPr>
          <w:i/>
          <w:iCs/>
          <w:szCs w:val="16"/>
          <w:lang w:val="en-ID"/>
        </w:rPr>
        <w:t>Bioelectron</w:t>
      </w:r>
      <w:proofErr w:type="spellEnd"/>
      <w:r>
        <w:rPr>
          <w:i/>
          <w:iCs/>
          <w:szCs w:val="16"/>
          <w:lang w:val="en-ID"/>
        </w:rPr>
        <w:t>.</w:t>
      </w:r>
      <w:r>
        <w:rPr>
          <w:szCs w:val="16"/>
          <w:lang w:val="en-ID"/>
        </w:rPr>
        <w:t xml:space="preserve">, vol. 273, Apr. 2025, Art. no. </w:t>
      </w:r>
      <w:proofErr w:type="gramStart"/>
      <w:r>
        <w:rPr>
          <w:szCs w:val="16"/>
          <w:lang w:val="en-ID"/>
        </w:rPr>
        <w:t xml:space="preserve">117089,  </w:t>
      </w:r>
      <w:proofErr w:type="spellStart"/>
      <w:r>
        <w:rPr>
          <w:szCs w:val="16"/>
          <w:lang w:val="en-ID"/>
        </w:rPr>
        <w:t>doi</w:t>
      </w:r>
      <w:proofErr w:type="spellEnd"/>
      <w:proofErr w:type="gramEnd"/>
      <w:r>
        <w:rPr>
          <w:szCs w:val="16"/>
          <w:lang w:val="en-ID"/>
        </w:rPr>
        <w:t>: 10.1016/j.bios.2024.117089.</w:t>
      </w:r>
    </w:p>
    <w:p w14:paraId="232FE099" w14:textId="3EE1699A" w:rsidR="00051088" w:rsidRDefault="00000000" w:rsidP="00302E85">
      <w:pPr>
        <w:pStyle w:val="IEEEReferenceItem"/>
        <w:numPr>
          <w:ilvl w:val="0"/>
          <w:numId w:val="9"/>
        </w:numPr>
        <w:ind w:left="357" w:hanging="357"/>
        <w:rPr>
          <w:szCs w:val="16"/>
          <w:lang w:val="en-ID"/>
        </w:rPr>
      </w:pPr>
      <w:r>
        <w:rPr>
          <w:szCs w:val="16"/>
          <w:lang w:val="en-ID"/>
        </w:rPr>
        <w:t xml:space="preserve">B. Coleman, C. Coarsey, M. A. Kabir, and W. Asghar, “Point-of-care colorimetric analysis through smartphone video,” </w:t>
      </w:r>
      <w:r>
        <w:rPr>
          <w:i/>
          <w:iCs/>
          <w:szCs w:val="16"/>
          <w:lang w:val="en-ID"/>
        </w:rPr>
        <w:t>Sens. Actuators B: Chem.</w:t>
      </w:r>
      <w:r>
        <w:rPr>
          <w:szCs w:val="16"/>
          <w:lang w:val="en-ID"/>
        </w:rPr>
        <w:t xml:space="preserve">, vol. 282, pp. 225–231, Mar. 2019. </w:t>
      </w:r>
      <w:proofErr w:type="spellStart"/>
      <w:r>
        <w:rPr>
          <w:szCs w:val="16"/>
          <w:lang w:val="en-ID"/>
        </w:rPr>
        <w:t>doi</w:t>
      </w:r>
      <w:proofErr w:type="spellEnd"/>
      <w:r>
        <w:rPr>
          <w:szCs w:val="16"/>
          <w:lang w:val="en-ID"/>
        </w:rPr>
        <w:t>: 10.1016/j.snb.2018.11.036.</w:t>
      </w:r>
    </w:p>
    <w:p w14:paraId="7EC825EB" w14:textId="6EC3A539" w:rsidR="00051088" w:rsidRDefault="00000000" w:rsidP="00302E85">
      <w:pPr>
        <w:pStyle w:val="IEEEReferenceItem"/>
        <w:numPr>
          <w:ilvl w:val="0"/>
          <w:numId w:val="9"/>
        </w:numPr>
        <w:ind w:left="357" w:hanging="357"/>
        <w:rPr>
          <w:szCs w:val="16"/>
          <w:lang w:val="en-ID"/>
        </w:rPr>
      </w:pPr>
      <w:r>
        <w:rPr>
          <w:szCs w:val="16"/>
          <w:lang w:val="en-ID"/>
        </w:rPr>
        <w:t xml:space="preserve">D. Kim, S. Kim, H.-T. Ha, and S. Kim, “Smartphone-based image analysis coupled to paper-based colorimetric devices,” </w:t>
      </w:r>
      <w:r w:rsidRPr="006552A1">
        <w:rPr>
          <w:i/>
          <w:iCs/>
          <w:szCs w:val="16"/>
          <w:lang w:val="en-ID"/>
        </w:rPr>
        <w:t xml:space="preserve">Current </w:t>
      </w:r>
      <w:r>
        <w:rPr>
          <w:i/>
          <w:iCs/>
          <w:szCs w:val="16"/>
          <w:lang w:val="en-ID"/>
        </w:rPr>
        <w:t>Appl. Phys.</w:t>
      </w:r>
      <w:r>
        <w:rPr>
          <w:szCs w:val="16"/>
          <w:lang w:val="en-ID"/>
        </w:rPr>
        <w:t xml:space="preserve">, vol. 20, no. 9, pp. 1013–1018, Sep. 2020. </w:t>
      </w:r>
      <w:proofErr w:type="spellStart"/>
      <w:r>
        <w:rPr>
          <w:szCs w:val="16"/>
          <w:lang w:val="en-ID"/>
        </w:rPr>
        <w:t>doi</w:t>
      </w:r>
      <w:proofErr w:type="spellEnd"/>
      <w:r>
        <w:rPr>
          <w:szCs w:val="16"/>
          <w:lang w:val="en-ID"/>
        </w:rPr>
        <w:t>: 10.1016/j.cap.2020.06.021.</w:t>
      </w:r>
    </w:p>
    <w:p w14:paraId="5F63AE7E" w14:textId="1D0E0AEC" w:rsidR="00051088" w:rsidRDefault="00000000" w:rsidP="00302E85">
      <w:pPr>
        <w:pStyle w:val="IEEEReferenceItem"/>
        <w:numPr>
          <w:ilvl w:val="0"/>
          <w:numId w:val="9"/>
        </w:numPr>
        <w:ind w:left="357" w:hanging="357"/>
        <w:rPr>
          <w:szCs w:val="16"/>
          <w:lang w:val="en-ID"/>
        </w:rPr>
      </w:pPr>
      <w:r>
        <w:rPr>
          <w:szCs w:val="16"/>
          <w:lang w:val="en-ID"/>
        </w:rPr>
        <w:t xml:space="preserve">R. Meng et al., “Smartphone-based colorimetric detection platform using </w:t>
      </w:r>
      <w:proofErr w:type="spellStart"/>
      <w:r>
        <w:rPr>
          <w:szCs w:val="16"/>
          <w:lang w:val="en-ID"/>
        </w:rPr>
        <w:t>color</w:t>
      </w:r>
      <w:proofErr w:type="spellEnd"/>
      <w:r>
        <w:rPr>
          <w:szCs w:val="16"/>
          <w:lang w:val="en-ID"/>
        </w:rPr>
        <w:t xml:space="preserve"> correction algorithms to reduce external interference,” </w:t>
      </w:r>
      <w:proofErr w:type="spellStart"/>
      <w:r>
        <w:rPr>
          <w:i/>
          <w:iCs/>
          <w:szCs w:val="16"/>
          <w:lang w:val="en-ID"/>
        </w:rPr>
        <w:t>Spectrochim</w:t>
      </w:r>
      <w:proofErr w:type="spellEnd"/>
      <w:r>
        <w:rPr>
          <w:i/>
          <w:iCs/>
          <w:szCs w:val="16"/>
          <w:lang w:val="en-ID"/>
        </w:rPr>
        <w:t xml:space="preserve">. Acta A Mol. </w:t>
      </w:r>
      <w:proofErr w:type="spellStart"/>
      <w:r>
        <w:rPr>
          <w:i/>
          <w:iCs/>
          <w:szCs w:val="16"/>
          <w:lang w:val="en-ID"/>
        </w:rPr>
        <w:t>Biomol</w:t>
      </w:r>
      <w:proofErr w:type="spellEnd"/>
      <w:r>
        <w:rPr>
          <w:i/>
          <w:iCs/>
          <w:szCs w:val="16"/>
          <w:lang w:val="en-ID"/>
        </w:rPr>
        <w:t xml:space="preserve">. </w:t>
      </w:r>
      <w:proofErr w:type="spellStart"/>
      <w:r>
        <w:rPr>
          <w:i/>
          <w:iCs/>
          <w:szCs w:val="16"/>
          <w:lang w:val="en-ID"/>
        </w:rPr>
        <w:t>Spectrosc</w:t>
      </w:r>
      <w:proofErr w:type="spellEnd"/>
      <w:r>
        <w:rPr>
          <w:i/>
          <w:iCs/>
          <w:szCs w:val="16"/>
          <w:lang w:val="en-ID"/>
        </w:rPr>
        <w:t>.</w:t>
      </w:r>
      <w:r>
        <w:rPr>
          <w:szCs w:val="16"/>
          <w:lang w:val="en-ID"/>
        </w:rPr>
        <w:t xml:space="preserve">, vol. 316, Aug. 2024, Art. no. </w:t>
      </w:r>
      <w:proofErr w:type="gramStart"/>
      <w:r>
        <w:rPr>
          <w:szCs w:val="16"/>
          <w:lang w:val="en-ID"/>
        </w:rPr>
        <w:t xml:space="preserve">124350,  </w:t>
      </w:r>
      <w:proofErr w:type="spellStart"/>
      <w:r>
        <w:rPr>
          <w:szCs w:val="16"/>
          <w:lang w:val="en-ID"/>
        </w:rPr>
        <w:t>doi</w:t>
      </w:r>
      <w:proofErr w:type="spellEnd"/>
      <w:proofErr w:type="gramEnd"/>
      <w:r>
        <w:rPr>
          <w:szCs w:val="16"/>
          <w:lang w:val="en-ID"/>
        </w:rPr>
        <w:t>: 10.1016/j.saa.2024.124350.</w:t>
      </w:r>
    </w:p>
    <w:sectPr w:rsidR="00051088" w:rsidSect="008A0AF2">
      <w:type w:val="continuous"/>
      <w:pgSz w:w="11906" w:h="16838"/>
      <w:pgMar w:top="1134" w:right="1134" w:bottom="1134" w:left="1418" w:header="720" w:footer="720" w:gutter="0"/>
      <w:pgNumType w:start="119"/>
      <w:cols w:num="2" w:space="284"/>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2795" w14:textId="77777777" w:rsidR="00A56476" w:rsidRDefault="00A56476">
      <w:r>
        <w:separator/>
      </w:r>
    </w:p>
  </w:endnote>
  <w:endnote w:type="continuationSeparator" w:id="0">
    <w:p w14:paraId="169DE855" w14:textId="77777777" w:rsidR="00A56476" w:rsidRDefault="00A5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6070" w14:textId="77777777" w:rsidR="008A0AF2" w:rsidRDefault="008A0AF2" w:rsidP="008A0AF2">
    <w:pPr>
      <w:pStyle w:val="Header"/>
      <w:pBdr>
        <w:bottom w:val="single" w:sz="4" w:space="1" w:color="auto"/>
      </w:pBdr>
      <w:tabs>
        <w:tab w:val="left" w:pos="7320"/>
      </w:tabs>
      <w:ind w:firstLine="0"/>
    </w:pPr>
  </w:p>
  <w:p w14:paraId="1D3B6081" w14:textId="1E64CD0E" w:rsidR="008A0AF2" w:rsidRDefault="008A0AF2" w:rsidP="008A0AF2">
    <w:pPr>
      <w:pStyle w:val="Footer"/>
      <w:jc w:val="right"/>
    </w:pPr>
    <w:r>
      <w:rPr>
        <w:sz w:val="16"/>
        <w:szCs w:val="16"/>
      </w:rPr>
      <w:t xml:space="preserve">JURNAL </w:t>
    </w:r>
    <w:r>
      <w:rPr>
        <w:sz w:val="16"/>
        <w:szCs w:val="16"/>
      </w:rPr>
      <w:t xml:space="preserve">ELEKTRONIKA DAN TELEKOMUNIKASI, Vol. </w:t>
    </w:r>
    <w:r>
      <w:rPr>
        <w:sz w:val="16"/>
        <w:szCs w:val="16"/>
        <w:lang w:val="en-US"/>
      </w:rPr>
      <w:t>25</w:t>
    </w:r>
    <w:r>
      <w:rPr>
        <w:sz w:val="16"/>
        <w:szCs w:val="16"/>
      </w:rPr>
      <w:t>, No.</w:t>
    </w:r>
    <w:r>
      <w:rPr>
        <w:sz w:val="16"/>
        <w:szCs w:val="16"/>
        <w:lang w:val="en-US"/>
      </w:rPr>
      <w:t xml:space="preserve"> 2</w:t>
    </w:r>
    <w:r>
      <w:rPr>
        <w:sz w:val="16"/>
        <w:szCs w:val="16"/>
      </w:rPr>
      <w:t xml:space="preserve">, </w:t>
    </w:r>
    <w:r>
      <w:rPr>
        <w:sz w:val="16"/>
        <w:szCs w:val="16"/>
        <w:lang w:val="en-US"/>
      </w:rPr>
      <w:t>December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A846" w14:textId="77777777" w:rsidR="008A0AF2" w:rsidRDefault="008A0AF2" w:rsidP="008A0AF2">
    <w:pPr>
      <w:pStyle w:val="Header"/>
      <w:pBdr>
        <w:bottom w:val="single" w:sz="4" w:space="1" w:color="auto"/>
      </w:pBdr>
      <w:tabs>
        <w:tab w:val="left" w:pos="7320"/>
      </w:tabs>
      <w:ind w:firstLine="0"/>
    </w:pPr>
  </w:p>
  <w:p w14:paraId="20F51D12" w14:textId="2B6497DB" w:rsidR="008A0AF2" w:rsidRDefault="008A0AF2" w:rsidP="008A0AF2">
    <w:pPr>
      <w:pStyle w:val="Footer"/>
      <w:ind w:firstLine="0"/>
      <w:jc w:val="left"/>
    </w:pPr>
    <w:r>
      <w:rPr>
        <w:sz w:val="16"/>
        <w:szCs w:val="16"/>
      </w:rPr>
      <w:t>p-ISSN: 1411-8289; e-ISSN: 2527-9955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3061" w14:textId="77777777" w:rsidR="00A56476" w:rsidRDefault="00A56476">
      <w:r>
        <w:separator/>
      </w:r>
    </w:p>
  </w:footnote>
  <w:footnote w:type="continuationSeparator" w:id="0">
    <w:p w14:paraId="1A04C5B5" w14:textId="77777777" w:rsidR="00A56476" w:rsidRDefault="00A56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276638"/>
      <w:docPartObj>
        <w:docPartGallery w:val="Page Numbers (Top of Page)"/>
        <w:docPartUnique/>
      </w:docPartObj>
    </w:sdtPr>
    <w:sdtEndPr>
      <w:rPr>
        <w:sz w:val="16"/>
        <w:szCs w:val="16"/>
      </w:rPr>
    </w:sdtEndPr>
    <w:sdtContent>
      <w:p w14:paraId="6F924ABE" w14:textId="37DF51A7" w:rsidR="00D0034E" w:rsidRPr="00250D96" w:rsidRDefault="00D0034E" w:rsidP="00D0034E">
        <w:pPr>
          <w:pStyle w:val="Header"/>
          <w:pBdr>
            <w:bottom w:val="single" w:sz="4" w:space="1" w:color="auto"/>
          </w:pBdr>
          <w:ind w:firstLine="0"/>
          <w:jc w:val="left"/>
          <w:rPr>
            <w:noProof/>
            <w:sz w:val="16"/>
            <w:szCs w:val="16"/>
          </w:rPr>
        </w:pPr>
        <w:sdt>
          <w:sdtPr>
            <w:id w:val="-1037123559"/>
            <w:docPartObj>
              <w:docPartGallery w:val="Page Numbers (Top of Page)"/>
              <w:docPartUnique/>
            </w:docPartObj>
          </w:sdtPr>
          <w:sdtEndPr>
            <w:rPr>
              <w:noProof/>
              <w:sz w:val="16"/>
              <w:szCs w:val="16"/>
            </w:rPr>
          </w:sdtEndPr>
          <w:sdtContent>
            <w:r w:rsidRPr="00250D96">
              <w:rPr>
                <w:sz w:val="16"/>
                <w:szCs w:val="16"/>
              </w:rPr>
              <w:fldChar w:fldCharType="begin"/>
            </w:r>
            <w:r w:rsidRPr="00250D96">
              <w:rPr>
                <w:sz w:val="16"/>
                <w:szCs w:val="16"/>
              </w:rPr>
              <w:instrText xml:space="preserve"> PAGE   \* MERGEFORMAT </w:instrText>
            </w:r>
            <w:r w:rsidRPr="00250D96">
              <w:rPr>
                <w:sz w:val="16"/>
                <w:szCs w:val="16"/>
              </w:rPr>
              <w:fldChar w:fldCharType="separate"/>
            </w:r>
            <w:r>
              <w:rPr>
                <w:sz w:val="16"/>
                <w:szCs w:val="16"/>
              </w:rPr>
              <w:t>121</w:t>
            </w:r>
            <w:r w:rsidRPr="00250D96">
              <w:rPr>
                <w:noProof/>
                <w:sz w:val="16"/>
                <w:szCs w:val="16"/>
              </w:rPr>
              <w:fldChar w:fldCharType="end"/>
            </w:r>
          </w:sdtContent>
        </w:sdt>
        <w:r>
          <w:rPr>
            <w:noProof/>
            <w:sz w:val="16"/>
            <w:szCs w:val="16"/>
          </w:rPr>
          <w:t xml:space="preserve"> </w:t>
        </w:r>
        <w:r>
          <w:rPr>
            <w:sz w:val="16"/>
            <w:szCs w:val="16"/>
          </w:rPr>
          <w:sym w:font="Symbol" w:char="F0B7"/>
        </w:r>
        <w:r>
          <w:rPr>
            <w:sz w:val="16"/>
            <w:szCs w:val="16"/>
          </w:rPr>
          <w:t xml:space="preserve"> </w:t>
        </w:r>
        <w:r w:rsidRPr="008A0AF2">
          <w:rPr>
            <w:sz w:val="16"/>
            <w:szCs w:val="16"/>
          </w:rPr>
          <w:t>Robeth Viktoria Manurung</w:t>
        </w:r>
        <w:r>
          <w:rPr>
            <w:sz w:val="16"/>
            <w:szCs w:val="16"/>
          </w:rPr>
          <w:t>, et. al.</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93653" w14:textId="468EF299" w:rsidR="00D0034E" w:rsidRPr="00250D96" w:rsidRDefault="00D0034E" w:rsidP="00D0034E">
    <w:pPr>
      <w:pStyle w:val="Header"/>
      <w:pBdr>
        <w:bottom w:val="single" w:sz="4" w:space="1" w:color="auto"/>
      </w:pBdr>
      <w:jc w:val="right"/>
      <w:rPr>
        <w:noProof/>
        <w:sz w:val="16"/>
        <w:szCs w:val="16"/>
      </w:rPr>
    </w:pPr>
    <w:r w:rsidRPr="00250D96">
      <w:rPr>
        <w:sz w:val="14"/>
        <w:szCs w:val="14"/>
      </w:rPr>
      <w:t>Smartphone-Based Colorimetric Platform with RGB-CIELAB Multivariate Regression and 3D-Printed Illumination for Portable Colorimetric Detection</w:t>
    </w:r>
    <w:r>
      <w:rPr>
        <w:sz w:val="14"/>
        <w:szCs w:val="14"/>
      </w:rPr>
      <w:t xml:space="preserve"> </w:t>
    </w:r>
    <w:r>
      <w:rPr>
        <w:sz w:val="16"/>
        <w:szCs w:val="16"/>
      </w:rPr>
      <w:sym w:font="Symbol" w:char="F0B7"/>
    </w:r>
    <w:r>
      <w:rPr>
        <w:sz w:val="16"/>
        <w:szCs w:val="16"/>
      </w:rPr>
      <w:t xml:space="preserve"> </w:t>
    </w:r>
    <w:r w:rsidRPr="00250D96">
      <w:rPr>
        <w:sz w:val="16"/>
        <w:szCs w:val="16"/>
      </w:rPr>
      <w:fldChar w:fldCharType="begin"/>
    </w:r>
    <w:r w:rsidRPr="00250D96">
      <w:rPr>
        <w:sz w:val="16"/>
        <w:szCs w:val="16"/>
      </w:rPr>
      <w:instrText xml:space="preserve"> PAGE   \* MERGEFORMAT </w:instrText>
    </w:r>
    <w:r w:rsidRPr="00250D96">
      <w:rPr>
        <w:sz w:val="16"/>
        <w:szCs w:val="16"/>
      </w:rPr>
      <w:fldChar w:fldCharType="separate"/>
    </w:r>
    <w:r>
      <w:rPr>
        <w:sz w:val="16"/>
        <w:szCs w:val="16"/>
      </w:rPr>
      <w:t>120</w:t>
    </w:r>
    <w:r w:rsidRPr="00250D96">
      <w:rPr>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DB72" w14:textId="4D17AE00" w:rsidR="008A0AF2" w:rsidRDefault="008A0AF2" w:rsidP="008A0AF2">
    <w:pPr>
      <w:pStyle w:val="Header"/>
      <w:ind w:firstLine="0"/>
      <w:rPr>
        <w:lang w:val="en-US"/>
      </w:rPr>
    </w:pPr>
    <w:r>
      <w:rPr>
        <w:b/>
      </w:rPr>
      <w:t xml:space="preserve">Jurnal </w:t>
    </w:r>
    <w:r>
      <w:rPr>
        <w:b/>
      </w:rPr>
      <w:t>Elektronika dan Telekomunikasi (JET)</w:t>
    </w:r>
    <w:r>
      <w:t>, Vol. 2</w:t>
    </w:r>
    <w:r>
      <w:rPr>
        <w:lang w:val="en-US"/>
      </w:rPr>
      <w:t>5</w:t>
    </w:r>
    <w:r>
      <w:t>, No.</w:t>
    </w:r>
    <w:r>
      <w:rPr>
        <w:lang w:val="en-US"/>
      </w:rPr>
      <w:t xml:space="preserve"> 2</w:t>
    </w:r>
    <w:r>
      <w:t xml:space="preserve">, </w:t>
    </w:r>
    <w:r>
      <w:rPr>
        <w:lang w:val="en-US"/>
      </w:rPr>
      <w:t>December 2025</w:t>
    </w:r>
    <w:r>
      <w:t xml:space="preserve">, pp. </w:t>
    </w:r>
    <w:r>
      <w:rPr>
        <w:noProof/>
        <w:lang w:val="en-US"/>
      </w:rPr>
      <mc:AlternateContent>
        <mc:Choice Requires="wps">
          <w:drawing>
            <wp:anchor distT="0" distB="0" distL="114300" distR="114300" simplePos="0" relativeHeight="251666432" behindDoc="0" locked="0" layoutInCell="1" allowOverlap="1" wp14:anchorId="40A17C67" wp14:editId="0E2E5A6E">
              <wp:simplePos x="0" y="0"/>
              <wp:positionH relativeFrom="margin">
                <wp:posOffset>2853055</wp:posOffset>
              </wp:positionH>
              <wp:positionV relativeFrom="paragraph">
                <wp:posOffset>0</wp:posOffset>
              </wp:positionV>
              <wp:extent cx="1828800" cy="1828800"/>
              <wp:effectExtent l="0" t="0" r="0" b="0"/>
              <wp:wrapNone/>
              <wp:docPr id="65355622" name="Text Box 653556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90905" w14:textId="77777777" w:rsidR="008A0AF2" w:rsidRDefault="008A0AF2" w:rsidP="008A0AF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A17C67" id="_x0000_t202" coordsize="21600,21600" o:spt="202" path="m,l,21600r21600,l21600,xe">
              <v:stroke joinstyle="miter"/>
              <v:path gradientshapeok="t" o:connecttype="rect"/>
            </v:shapetype>
            <v:shape id="Text Box 65355622" o:spid="_x0000_s1027" type="#_x0000_t202" style="position:absolute;left:0;text-align:left;margin-left:224.65pt;margin-top:0;width:2in;height:2in;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FuKsSrcAAAA&#10;CAEAAA8AAABkcnMvZG93bnJldi54bWxMj8FOwzAQRO9I/IO1SNyoQxPREOJUUBGOSDQcOLrxkgTi&#10;dWS7afh7lhM9jmY086bcLnYUM/owOFJwu0pAILXODNQpeG/qmxxEiJqMHh2hgh8MsK0uL0pdGHei&#10;N5z3sRNcQqHQCvoYp0LK0PZodVi5CYm9T+etjix9J43XJy63o1wnyZ20eiBe6PWEux7b7/3RKtjV&#10;TeNnDH78wJc6/Xp9yvB5Uer6anl8ABFxif9h+MNndKiY6eCOZIIYFWTZfcpRBfyI7U26YXlQsM7z&#10;BGRVyvMD1S8AAAD//wMAUEsBAi0AFAAGAAgAAAAhALaDOJL+AAAA4QEAABMAAAAAAAAAAAAAAAAA&#10;AAAAAFtDb250ZW50X1R5cGVzXS54bWxQSwECLQAUAAYACAAAACEAOP0h/9YAAACUAQAACwAAAAAA&#10;AAAAAAAAAAAvAQAAX3JlbHMvLnJlbHNQSwECLQAUAAYACAAAACEA/H8qlD0CAADkBAAADgAAAAAA&#10;AAAAAAAAAAAuAgAAZHJzL2Uyb0RvYy54bWxQSwECLQAUAAYACAAAACEAW4qxKtwAAAAIAQAADwAA&#10;AAAAAAAAAAAAAACXBAAAZHJzL2Rvd25yZXYueG1sUEsFBgAAAAAEAAQA8wAAAKAFAAAAAA==&#10;" filled="f" stroked="f" strokeweight=".5pt">
              <v:textbox style="mso-fit-shape-to-text:t" inset="0,0,0,0">
                <w:txbxContent>
                  <w:p w14:paraId="6A290905" w14:textId="77777777" w:rsidR="008A0AF2" w:rsidRDefault="008A0AF2" w:rsidP="008A0AF2"/>
                </w:txbxContent>
              </v:textbox>
              <w10:wrap anchorx="margin"/>
            </v:shape>
          </w:pict>
        </mc:Fallback>
      </mc:AlternateContent>
    </w:r>
    <w:r>
      <w:rPr>
        <w:noProof/>
        <w:lang w:val="en-US"/>
      </w:rPr>
      <mc:AlternateContent>
        <mc:Choice Requires="wps">
          <w:drawing>
            <wp:anchor distT="0" distB="0" distL="114300" distR="114300" simplePos="0" relativeHeight="251667456" behindDoc="0" locked="0" layoutInCell="1" allowOverlap="1" wp14:anchorId="234FEDBA" wp14:editId="4C5FC226">
              <wp:simplePos x="0" y="0"/>
              <wp:positionH relativeFrom="margin">
                <wp:posOffset>2831465</wp:posOffset>
              </wp:positionH>
              <wp:positionV relativeFrom="paragraph">
                <wp:posOffset>4445</wp:posOffset>
              </wp:positionV>
              <wp:extent cx="1828800" cy="1828800"/>
              <wp:effectExtent l="0" t="0" r="0" b="0"/>
              <wp:wrapNone/>
              <wp:docPr id="565268192" name="Text Box 565268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91F7B2" w14:textId="77777777" w:rsidR="008A0AF2" w:rsidRDefault="008A0AF2" w:rsidP="008A0AF2">
                          <w:pPr>
                            <w:pStyle w:val="Header"/>
                          </w:pPr>
                        </w:p>
                      </w:txbxContent>
                    </wps:txbx>
                    <wps:bodyPr wrap="none" lIns="0" tIns="0" rIns="0" bIns="0">
                      <a:spAutoFit/>
                    </wps:bodyPr>
                  </wps:wsp>
                </a:graphicData>
              </a:graphic>
            </wp:anchor>
          </w:drawing>
        </mc:Choice>
        <mc:Fallback>
          <w:pict>
            <v:shape w14:anchorId="234FEDBA" id="Text Box 565268192" o:spid="_x0000_s1028" type="#_x0000_t202" style="position:absolute;left:0;text-align:left;margin-left:222.95pt;margin-top:.35pt;width:2in;height:2in;z-index:2516674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B50krrbAAAACAEAAA8AAABk&#10;cnMvZG93bnJldi54bWxMj8FOwzAQRO9I/IO1SNyoQ1tImsapUCUu3GgREjc33sYR9jqK3TT5e5YT&#10;HEczevu22k3eiRGH2AVS8LjIQCA1wXTUKvg4vj4UIGLSZLQLhApmjLCrb28qXZpwpXccD6kVDKFY&#10;agU2pb6UMjYWvY6L0CNxdw6D14nj0Eoz6CvDvZPLLHuWXnfEF6zucW+x+T5cvIJ8+gzYR9zj13ls&#10;BtvNhXublbq/m162IBJO6W8Mv/qsDjU7ncKFTBROwXr9tOEpw0Bwna9WHE8KlkWRg6wr+f+B+gcA&#10;AP//AwBQSwECLQAUAAYACAAAACEAtoM4kv4AAADhAQAAEwAAAAAAAAAAAAAAAAAAAAAAW0NvbnRl&#10;bnRfVHlwZXNdLnhtbFBLAQItABQABgAIAAAAIQA4/SH/1gAAAJQBAAALAAAAAAAAAAAAAAAAAC8B&#10;AABfcmVscy8ucmVsc1BLAQItABQABgAIAAAAIQC/cB38iQEAACADAAAOAAAAAAAAAAAAAAAAAC4C&#10;AABkcnMvZTJvRG9jLnhtbFBLAQItABQABgAIAAAAIQAedJK62wAAAAgBAAAPAAAAAAAAAAAAAAAA&#10;AOMDAABkcnMvZG93bnJldi54bWxQSwUGAAAAAAQABADzAAAA6wQAAAAA&#10;" filled="f" stroked="f">
              <v:textbox style="mso-fit-shape-to-text:t" inset="0,0,0,0">
                <w:txbxContent>
                  <w:p w14:paraId="5491F7B2" w14:textId="77777777" w:rsidR="008A0AF2" w:rsidRDefault="008A0AF2" w:rsidP="008A0AF2">
                    <w:pPr>
                      <w:pStyle w:val="Header"/>
                    </w:pPr>
                  </w:p>
                </w:txbxContent>
              </v:textbox>
              <w10:wrap anchorx="margin"/>
            </v:shape>
          </w:pict>
        </mc:Fallback>
      </mc:AlternateContent>
    </w:r>
    <w:r>
      <w:rPr>
        <w:noProof/>
        <w:lang w:val="en-US"/>
      </w:rPr>
      <w:drawing>
        <wp:anchor distT="0" distB="0" distL="114300" distR="114300" simplePos="0" relativeHeight="251665408" behindDoc="0" locked="0" layoutInCell="1" allowOverlap="1" wp14:anchorId="10A813E2" wp14:editId="1B0F840B">
          <wp:simplePos x="0" y="0"/>
          <wp:positionH relativeFrom="column">
            <wp:posOffset>-36830</wp:posOffset>
          </wp:positionH>
          <wp:positionV relativeFrom="paragraph">
            <wp:posOffset>-63500</wp:posOffset>
          </wp:positionV>
          <wp:extent cx="749300" cy="466090"/>
          <wp:effectExtent l="0" t="0" r="12700" b="6350"/>
          <wp:wrapSquare wrapText="bothSides"/>
          <wp:docPr id="1812099933" name="Picture 1812099933"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lang w:val="en-US"/>
      </w:rPr>
      <w:t>119-</w:t>
    </w:r>
    <w:r w:rsidRPr="00270113">
      <w:rPr>
        <w:lang w:val="en-US"/>
      </w:rPr>
      <w:t>12</w:t>
    </w:r>
    <w:r w:rsidR="00270113" w:rsidRPr="00270113">
      <w:rPr>
        <w:lang w:val="en-US"/>
      </w:rPr>
      <w:t>5</w:t>
    </w:r>
    <w:r>
      <w:rPr>
        <w:b/>
        <w:lang w:val="en-US"/>
      </w:rPr>
      <w:tab/>
      <w:t xml:space="preserve">   </w:t>
    </w:r>
  </w:p>
  <w:p w14:paraId="037F7245" w14:textId="77777777" w:rsidR="008A0AF2" w:rsidRDefault="008A0AF2" w:rsidP="008A0AF2">
    <w:pPr>
      <w:pStyle w:val="Header"/>
      <w:ind w:left="1134" w:firstLine="0"/>
      <w:rPr>
        <w:lang w:val="en-US"/>
      </w:rPr>
    </w:pPr>
    <w:r>
      <w:t xml:space="preserve">Accredited by RISTEKDIKTI, Decree No: </w:t>
    </w:r>
    <w:r>
      <w:rPr>
        <w:b/>
        <w:bCs/>
        <w:lang w:val="en-US"/>
      </w:rPr>
      <w:t>158</w:t>
    </w:r>
    <w:r>
      <w:rPr>
        <w:b/>
        <w:bCs/>
        <w:iCs/>
      </w:rPr>
      <w:t>/E/KPT/20</w:t>
    </w:r>
    <w:r>
      <w:rPr>
        <w:b/>
        <w:bCs/>
        <w:iCs/>
        <w:lang w:val="en-US"/>
      </w:rPr>
      <w:t>21</w:t>
    </w:r>
  </w:p>
  <w:p w14:paraId="4B4F69FA" w14:textId="77777777" w:rsidR="008A0AF2" w:rsidRDefault="008A0AF2" w:rsidP="008A0AF2">
    <w:pPr>
      <w:pStyle w:val="Header"/>
      <w:ind w:left="1134" w:firstLine="0"/>
      <w:rPr>
        <w:lang w:val="en-US"/>
      </w:rPr>
    </w:pPr>
    <w:r>
      <w:rPr>
        <w:noProof/>
        <w:lang w:eastAsia="id-ID"/>
      </w:rPr>
      <mc:AlternateContent>
        <mc:Choice Requires="wps">
          <w:drawing>
            <wp:anchor distT="0" distB="0" distL="114300" distR="114300" simplePos="0" relativeHeight="251664384" behindDoc="0" locked="0" layoutInCell="1" allowOverlap="1" wp14:anchorId="3D4963A7" wp14:editId="4380C659">
              <wp:simplePos x="0" y="0"/>
              <wp:positionH relativeFrom="column">
                <wp:posOffset>-17780</wp:posOffset>
              </wp:positionH>
              <wp:positionV relativeFrom="paragraph">
                <wp:posOffset>192405</wp:posOffset>
              </wp:positionV>
              <wp:extent cx="5965825" cy="0"/>
              <wp:effectExtent l="0" t="19050" r="8255" b="26670"/>
              <wp:wrapNone/>
              <wp:docPr id="1158352137" name="Straight Connector 1158352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a:effectLst/>
                    </wps:spPr>
                    <wps:bodyPr/>
                  </wps:wsp>
                </a:graphicData>
              </a:graphic>
            </wp:anchor>
          </w:drawing>
        </mc:Choice>
        <mc:Fallback>
          <w:pict>
            <v:line w14:anchorId="3237A811" id="Straight Connector 115835213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pt,15.15pt" to="468.3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wYsgEAAEoDAAAOAAAAZHJzL2Uyb0RvYy54bWysU8Fu2zAMvQ/YPwi6L04ypMiMOD2k6C7d&#10;FqDtB9CSbAuTREFUYufvJ6lxVmy3YT4Qpkg+PT5Su/vJGnZWgTS6hq8WS86UEyi16xv++vL4acsZ&#10;RXASDDrV8Isifr//+GE3+lqtcUAjVWAJxFE9+oYPMfq6qkgMygIt0CuXgh0GCzG5oa9kgDGhW1Ot&#10;l8u7asQgfUChiNLpw1uQ7wt+1ykRf3QdqchMwxO3WGwots222u+g7gP4QYsrDfgHFha0S5feoB4g&#10;AjsF/ReU1SIgYRcXAm2FXaeFKj2kblbLP7p5HsCr0ksSh/xNJvp/sOL7+eCOIVMXk3v2Tyh+EnN4&#10;GMD1qhB4ufg0uFWWqho91beS7JA/BtaO31CmHDhFLCpMXbAZMvXHpiL25Sa2miIT6XDz5W6zXW84&#10;E3Osgnou9IHiV4WW5Z+GG+2yDlDD+YliJgL1nJKPHT5qY8osjWNjwz9vV8s0bmG9bLhsTSkmNFrm&#10;xFxCoW8PJrAz5M0oX+kwRd6nBTw5+XahcblOlaW6spgVyOtGdYvycgyzTGlghed1ufJGvPeLmL+f&#10;wP4XAAAA//8DAFBLAwQUAAYACAAAACEAu30UfN0AAAAIAQAADwAAAGRycy9kb3ducmV2LnhtbEyP&#10;QU/CQBCF7yb+h82YeIMtNEEp3RIkIYboRfQHDN2hbejONt0B2n/vGg96nPde3vsmXw+uVVfqQ+PZ&#10;wGyagCIuvW24MvD1uZs8gwqCbLH1TAZGCrAu7u9yzKy/8QddD1KpWMIhQwO1SJdpHcqaHIap74ij&#10;d/K9Q4lnX2nb4y2Wu1bPk2ShHTYcF2rsaFtTeT5cnAE5J69vL7gbN+60l2o5lm6/fTfm8WHYrEAJ&#10;DfIXhh/8iA5FZDr6C9ugWgOTeSQXA2mSgor+Ml08gTr+CrrI9f8Him8AAAD//wMAUEsBAi0AFAAG&#10;AAgAAAAhALaDOJL+AAAA4QEAABMAAAAAAAAAAAAAAAAAAAAAAFtDb250ZW50X1R5cGVzXS54bWxQ&#10;SwECLQAUAAYACAAAACEAOP0h/9YAAACUAQAACwAAAAAAAAAAAAAAAAAvAQAAX3JlbHMvLnJlbHNQ&#10;SwECLQAUAAYACAAAACEAkX2MGLIBAABKAwAADgAAAAAAAAAAAAAAAAAuAgAAZHJzL2Uyb0RvYy54&#10;bWxQSwECLQAUAAYACAAAACEAu30UfN0AAAAIAQAADwAAAAAAAAAAAAAAAAAMBAAAZHJzL2Rvd25y&#10;ZXYueG1sUEsFBgAAAAAEAAQA8wAAABYFAAAAAA==&#10;" strokeweight="3pt">
              <v:stroke linestyle="thinThin"/>
            </v:line>
          </w:pict>
        </mc:Fallback>
      </mc:AlternateContent>
    </w:r>
    <w:r>
      <w:t>doi: 10.</w:t>
    </w:r>
    <w:r>
      <w:rPr>
        <w:lang w:val="en-US"/>
      </w:rPr>
      <w:t>55981</w:t>
    </w:r>
    <w:r>
      <w:t>/jet.</w:t>
    </w:r>
    <w:r>
      <w:rPr>
        <w:lang w:val="en-US"/>
      </w:rPr>
      <w:t>798</w:t>
    </w:r>
  </w:p>
  <w:p w14:paraId="4F307DAA" w14:textId="77777777" w:rsidR="00051088" w:rsidRDefault="00051088">
    <w:pPr>
      <w:pStyle w:val="Header"/>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392B"/>
    <w:multiLevelType w:val="multilevel"/>
    <w:tmpl w:val="E2267602"/>
    <w:lvl w:ilvl="0">
      <w:start w:val="1"/>
      <w:numFmt w:val="upperLetter"/>
      <w:lvlText w:val="%1."/>
      <w:lvlJc w:val="left"/>
      <w:pPr>
        <w:tabs>
          <w:tab w:val="num" w:pos="0"/>
        </w:tabs>
        <w:ind w:left="360" w:hanging="360"/>
      </w:pPr>
      <w:rPr>
        <w:color w:val="000000" w:themeColor="dark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DE9435F"/>
    <w:multiLevelType w:val="multilevel"/>
    <w:tmpl w:val="91AAC95E"/>
    <w:lvl w:ilvl="0">
      <w:start w:val="1"/>
      <w:numFmt w:val="upperLetter"/>
      <w:pStyle w:val="Heading2"/>
      <w:lvlText w:val="%1."/>
      <w:lvlJc w:val="left"/>
      <w:pPr>
        <w:tabs>
          <w:tab w:val="num" w:pos="0"/>
        </w:tabs>
        <w:ind w:left="360" w:hanging="360"/>
      </w:pPr>
      <w:rPr>
        <w:color w:val="000000" w:themeColor="dark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3CBE1756"/>
    <w:multiLevelType w:val="multilevel"/>
    <w:tmpl w:val="E8DE2192"/>
    <w:lvl w:ilvl="0">
      <w:start w:val="1"/>
      <w:numFmt w:val="upperLetter"/>
      <w:pStyle w:val="icsmheading2"/>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40E25C75"/>
    <w:multiLevelType w:val="multilevel"/>
    <w:tmpl w:val="69F2E2CE"/>
    <w:lvl w:ilvl="0">
      <w:start w:val="1"/>
      <w:numFmt w:val="upperLetter"/>
      <w:lvlText w:val="%1."/>
      <w:lvlJc w:val="left"/>
      <w:pPr>
        <w:tabs>
          <w:tab w:val="num" w:pos="0"/>
        </w:tabs>
        <w:ind w:left="360" w:hanging="360"/>
      </w:pPr>
      <w:rPr>
        <w:color w:val="000000" w:themeColor="dark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41CD1B0C"/>
    <w:multiLevelType w:val="multilevel"/>
    <w:tmpl w:val="9C448E5A"/>
    <w:lvl w:ilvl="0">
      <w:start w:val="1"/>
      <w:numFmt w:val="upperRoman"/>
      <w:pStyle w:val="Heading1"/>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51317CD8"/>
    <w:multiLevelType w:val="multilevel"/>
    <w:tmpl w:val="7B784050"/>
    <w:lvl w:ilvl="0">
      <w:start w:val="1"/>
      <w:numFmt w:val="lowerLetter"/>
      <w:pStyle w:val="Heading4"/>
      <w:lvlText w:val="%1)"/>
      <w:lvlJc w:val="left"/>
      <w:pPr>
        <w:tabs>
          <w:tab w:val="num" w:pos="0"/>
        </w:tabs>
        <w:ind w:left="644" w:hanging="360"/>
      </w:pPr>
      <w:rPr>
        <w:i/>
        <w:color w:val="000000" w:themeColor="dark1"/>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52A71476"/>
    <w:multiLevelType w:val="multilevel"/>
    <w:tmpl w:val="2BB637F4"/>
    <w:lvl w:ilvl="0">
      <w:start w:val="1"/>
      <w:numFmt w:val="decimal"/>
      <w:pStyle w:val="Heading3"/>
      <w:lvlText w:val="%1)"/>
      <w:lvlJc w:val="left"/>
      <w:pPr>
        <w:tabs>
          <w:tab w:val="num" w:pos="0"/>
        </w:tabs>
        <w:ind w:left="360" w:hanging="360"/>
      </w:pPr>
      <w:rPr>
        <w:color w:val="000000" w:themeColor="dark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52FC4E5D"/>
    <w:multiLevelType w:val="multilevel"/>
    <w:tmpl w:val="321851E4"/>
    <w:lvl w:ilvl="0">
      <w:start w:val="1"/>
      <w:numFmt w:val="upperRoman"/>
      <w:pStyle w:val="IEEEHeading1"/>
      <w:lvlText w:val="%1."/>
      <w:lvlJc w:val="left"/>
      <w:pPr>
        <w:tabs>
          <w:tab w:val="num" w:pos="288"/>
        </w:tabs>
        <w:ind w:left="288" w:hanging="288"/>
      </w:pPr>
      <w:rPr>
        <w:rFonts w:ascii="Times New Roman" w:eastAsia="Arial Unicode MS" w:hAnsi="Times New Roman" w:cs="Times New Roman"/>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89766E0"/>
    <w:multiLevelType w:val="multilevel"/>
    <w:tmpl w:val="BC0479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C9E7654"/>
    <w:multiLevelType w:val="multilevel"/>
    <w:tmpl w:val="91B8C296"/>
    <w:lvl w:ilvl="0">
      <w:start w:val="1"/>
      <w:numFmt w:val="upperLetter"/>
      <w:pStyle w:val="IEEEHeading2"/>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80E3EDA"/>
    <w:multiLevelType w:val="multilevel"/>
    <w:tmpl w:val="E3ACFB90"/>
    <w:lvl w:ilvl="0">
      <w:start w:val="1"/>
      <w:numFmt w:val="upperRoman"/>
      <w:pStyle w:val="icsmheading1"/>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74327448"/>
    <w:multiLevelType w:val="multilevel"/>
    <w:tmpl w:val="70281FFC"/>
    <w:lvl w:ilvl="0">
      <w:start w:val="1"/>
      <w:numFmt w:val="upperLetter"/>
      <w:lvlText w:val="%1."/>
      <w:lvlJc w:val="left"/>
      <w:pPr>
        <w:tabs>
          <w:tab w:val="num" w:pos="0"/>
        </w:tabs>
        <w:ind w:left="360" w:hanging="360"/>
      </w:pPr>
      <w:rPr>
        <w:color w:val="000000" w:themeColor="dark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643071558">
    <w:abstractNumId w:val="10"/>
  </w:num>
  <w:num w:numId="2" w16cid:durableId="700589390">
    <w:abstractNumId w:val="4"/>
  </w:num>
  <w:num w:numId="3" w16cid:durableId="293877677">
    <w:abstractNumId w:val="5"/>
  </w:num>
  <w:num w:numId="4" w16cid:durableId="1729104959">
    <w:abstractNumId w:val="2"/>
  </w:num>
  <w:num w:numId="5" w16cid:durableId="1013265625">
    <w:abstractNumId w:val="1"/>
  </w:num>
  <w:num w:numId="6" w16cid:durableId="714161928">
    <w:abstractNumId w:val="6"/>
  </w:num>
  <w:num w:numId="7" w16cid:durableId="1263100774">
    <w:abstractNumId w:val="9"/>
  </w:num>
  <w:num w:numId="8" w16cid:durableId="765342187">
    <w:abstractNumId w:val="7"/>
  </w:num>
  <w:num w:numId="9" w16cid:durableId="421534927">
    <w:abstractNumId w:val="8"/>
  </w:num>
  <w:num w:numId="10" w16cid:durableId="1741319177">
    <w:abstractNumId w:val="11"/>
  </w:num>
  <w:num w:numId="11" w16cid:durableId="2022387620">
    <w:abstractNumId w:val="3"/>
  </w:num>
  <w:num w:numId="12" w16cid:durableId="2017001892">
    <w:abstractNumId w:val="0"/>
  </w:num>
  <w:num w:numId="13" w16cid:durableId="1249194931">
    <w:abstractNumId w:val="1"/>
    <w:lvlOverride w:ilvl="0">
      <w:startOverride w:val="1"/>
    </w:lvlOverride>
  </w:num>
  <w:num w:numId="14" w16cid:durableId="1267737423">
    <w:abstractNumId w:val="1"/>
  </w:num>
  <w:num w:numId="15" w16cid:durableId="2068409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NKoFAE7M1AAtAAAA"/>
  </w:docVars>
  <w:rsids>
    <w:rsidRoot w:val="00051088"/>
    <w:rsid w:val="000230F1"/>
    <w:rsid w:val="00051088"/>
    <w:rsid w:val="000515D0"/>
    <w:rsid w:val="00095F88"/>
    <w:rsid w:val="00193869"/>
    <w:rsid w:val="00250D96"/>
    <w:rsid w:val="00270113"/>
    <w:rsid w:val="002833BA"/>
    <w:rsid w:val="0028524D"/>
    <w:rsid w:val="00302E85"/>
    <w:rsid w:val="00334F2D"/>
    <w:rsid w:val="0034296E"/>
    <w:rsid w:val="0057198C"/>
    <w:rsid w:val="006552A1"/>
    <w:rsid w:val="006D0E12"/>
    <w:rsid w:val="00750F2F"/>
    <w:rsid w:val="007B6076"/>
    <w:rsid w:val="00891056"/>
    <w:rsid w:val="008A0AF2"/>
    <w:rsid w:val="008D717C"/>
    <w:rsid w:val="008F0973"/>
    <w:rsid w:val="00916689"/>
    <w:rsid w:val="009D5E23"/>
    <w:rsid w:val="00A56476"/>
    <w:rsid w:val="00A675C9"/>
    <w:rsid w:val="00A7427B"/>
    <w:rsid w:val="00AB61FE"/>
    <w:rsid w:val="00AC0E29"/>
    <w:rsid w:val="00AF1ABA"/>
    <w:rsid w:val="00B95900"/>
    <w:rsid w:val="00C16A10"/>
    <w:rsid w:val="00D0034E"/>
    <w:rsid w:val="00DE56A1"/>
    <w:rsid w:val="00E106DD"/>
    <w:rsid w:val="00E3540F"/>
    <w:rsid w:val="00E54A0B"/>
    <w:rsid w:val="00F37CA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CA053"/>
  <w15:docId w15:val="{40989EB0-8167-4B2A-931C-F7D43F055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pPr>
      <w:keepNext/>
      <w:numPr>
        <w:numId w:val="2"/>
      </w:numPr>
      <w:spacing w:before="180" w:after="60"/>
      <w:jc w:val="center"/>
      <w:outlineLvl w:val="0"/>
    </w:pPr>
    <w:rPr>
      <w:b/>
      <w:bCs/>
      <w:smallCaps/>
      <w:kern w:val="2"/>
      <w:lang w:eastAsia="x-none"/>
    </w:rPr>
  </w:style>
  <w:style w:type="paragraph" w:styleId="Heading2">
    <w:name w:val="heading 2"/>
    <w:basedOn w:val="Normal"/>
    <w:next w:val="Normal"/>
    <w:link w:val="Heading2Char"/>
    <w:uiPriority w:val="9"/>
    <w:unhideWhenUsed/>
    <w:qFormat/>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semiHidden/>
    <w:unhideWhenUsed/>
    <w:qFormat/>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semiHidden/>
    <w:unhideWhenUsed/>
    <w:qFormat/>
    <w:pPr>
      <w:numPr>
        <w:numId w:val="3"/>
      </w:numPr>
      <w:spacing w:before="120" w:after="60"/>
      <w:ind w:left="714" w:hanging="357"/>
      <w:contextualSpacing w:val="0"/>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rPr>
      <w:rFonts w:ascii="Times New Roman" w:eastAsia="Times New Roman" w:hAnsi="Times New Roman"/>
      <w:b/>
      <w:bCs/>
      <w:smallCaps/>
      <w:kern w:val="2"/>
      <w:lang w:val="id-ID" w:eastAsia="x-none"/>
    </w:rPr>
  </w:style>
  <w:style w:type="character" w:customStyle="1" w:styleId="HeaderChar">
    <w:name w:val="Header Char"/>
    <w:link w:val="Header"/>
    <w:uiPriority w:val="99"/>
    <w:qFormat/>
    <w:rPr>
      <w:rFonts w:ascii="Times New Roman" w:eastAsia="Times New Roman" w:hAnsi="Times New Roman" w:cs="Times New Roman"/>
      <w:sz w:val="20"/>
      <w:szCs w:val="20"/>
      <w:lang w:val="id-ID"/>
    </w:rPr>
  </w:style>
  <w:style w:type="character" w:customStyle="1" w:styleId="FooterChar">
    <w:name w:val="Footer Char"/>
    <w:link w:val="Footer"/>
    <w:uiPriority w:val="99"/>
    <w:qFormat/>
    <w:rPr>
      <w:rFonts w:ascii="Times New Roman" w:eastAsia="Times New Roman" w:hAnsi="Times New Roman" w:cs="Times New Roman"/>
      <w:sz w:val="20"/>
      <w:szCs w:val="20"/>
      <w:lang w:val="id-ID"/>
    </w:rPr>
  </w:style>
  <w:style w:type="character" w:customStyle="1" w:styleId="longtext">
    <w:name w:val="long_text"/>
    <w:qFormat/>
  </w:style>
  <w:style w:type="character" w:customStyle="1" w:styleId="hps">
    <w:name w:val="hps"/>
    <w:qFormat/>
  </w:style>
  <w:style w:type="character" w:customStyle="1" w:styleId="TitleChar">
    <w:name w:val="Title Char"/>
    <w:link w:val="Title"/>
    <w:uiPriority w:val="10"/>
    <w:qFormat/>
    <w:rPr>
      <w:rFonts w:ascii="Times New Roman" w:eastAsia="Times New Roman" w:hAnsi="Times New Roman"/>
      <w:b/>
      <w:bCs/>
      <w:kern w:val="2"/>
      <w:sz w:val="36"/>
      <w:szCs w:val="36"/>
      <w:lang w:val="id-ID"/>
    </w:rPr>
  </w:style>
  <w:style w:type="character" w:customStyle="1" w:styleId="BalloonTextChar">
    <w:name w:val="Balloon Text Char"/>
    <w:link w:val="BalloonText"/>
    <w:qFormat/>
    <w:rPr>
      <w:rFonts w:ascii="Tahoma" w:eastAsia="Times New Roman" w:hAnsi="Tahoma" w:cs="Tahoma"/>
      <w:sz w:val="16"/>
      <w:szCs w:val="16"/>
      <w:lang w:val="id-ID"/>
    </w:rPr>
  </w:style>
  <w:style w:type="character" w:customStyle="1" w:styleId="Heading2Char">
    <w:name w:val="Heading 2 Char"/>
    <w:link w:val="Heading2"/>
    <w:qFormat/>
    <w:rPr>
      <w:rFonts w:ascii="Times New Roman" w:eastAsia="Times New Roman" w:hAnsi="Times New Roman"/>
      <w:b/>
      <w:bCs/>
      <w:color w:val="000000"/>
      <w:lang w:val="id-ID" w:eastAsia="x-none"/>
    </w:rPr>
  </w:style>
  <w:style w:type="character" w:customStyle="1" w:styleId="AuthorNameChar">
    <w:name w:val="Author Name Char"/>
    <w:link w:val="AuthorName"/>
    <w:qFormat/>
    <w:rPr>
      <w:rFonts w:ascii="Times New Roman" w:eastAsia="Times New Roman" w:hAnsi="Times New Roman"/>
      <w:b/>
      <w:sz w:val="26"/>
      <w:szCs w:val="26"/>
      <w:lang w:val="id-ID"/>
    </w:rPr>
  </w:style>
  <w:style w:type="character" w:customStyle="1" w:styleId="icsmaddressesChar">
    <w:name w:val="icsm_addresses Char"/>
    <w:link w:val="icsmaddresses"/>
    <w:qFormat/>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Pr>
      <w:rFonts w:ascii="Times New Roman" w:eastAsia="Times New Roman" w:hAnsi="Times New Roman"/>
      <w:i/>
      <w:sz w:val="16"/>
      <w:lang w:val="id-ID"/>
    </w:rPr>
  </w:style>
  <w:style w:type="character" w:customStyle="1" w:styleId="Heading3Char">
    <w:name w:val="Heading 3 Char"/>
    <w:link w:val="Heading3"/>
    <w:qFormat/>
    <w:rPr>
      <w:rFonts w:ascii="Times New Roman" w:eastAsia="Times New Roman" w:hAnsi="Times New Roman"/>
      <w:bCs/>
      <w:i/>
      <w:lang w:val="id-ID" w:eastAsia="x-none"/>
    </w:rPr>
  </w:style>
  <w:style w:type="character" w:customStyle="1" w:styleId="Heading4Char">
    <w:name w:val="Heading 4 Char"/>
    <w:link w:val="Heading4"/>
    <w:qFormat/>
    <w:rPr>
      <w:rFonts w:ascii="Times New Roman" w:hAnsi="Times New Roman"/>
      <w:i/>
      <w:lang w:val="en-AU" w:eastAsia="x-none"/>
    </w:rPr>
  </w:style>
  <w:style w:type="character" w:customStyle="1" w:styleId="TableHeadingChar">
    <w:name w:val="Table Heading Char"/>
    <w:link w:val="TableHeading"/>
    <w:qFormat/>
    <w:rPr>
      <w:rFonts w:ascii="Times New Roman" w:eastAsia="Times New Roman" w:hAnsi="Times New Roman"/>
      <w:smallCaps/>
      <w:sz w:val="16"/>
    </w:rPr>
  </w:style>
  <w:style w:type="character" w:customStyle="1" w:styleId="atn">
    <w:name w:val="atn"/>
    <w:qFormat/>
  </w:style>
  <w:style w:type="character" w:customStyle="1" w:styleId="TextChar">
    <w:name w:val="Text Char"/>
    <w:link w:val="Text"/>
    <w:qFormat/>
    <w:rPr>
      <w:rFonts w:ascii="Times New Roman" w:eastAsia="Times New Roman" w:hAnsi="Times New Roman"/>
    </w:rPr>
  </w:style>
  <w:style w:type="character" w:customStyle="1" w:styleId="FigureHeadingChar">
    <w:name w:val="Figure Heading Char"/>
    <w:link w:val="FigureHeading"/>
    <w:qFormat/>
    <w:rPr>
      <w:rFonts w:ascii="Times New Roman" w:eastAsia="Times New Roman" w:hAnsi="Times New Roman"/>
      <w:sz w:val="16"/>
      <w:szCs w:val="16"/>
    </w:rPr>
  </w:style>
  <w:style w:type="character" w:styleId="Hyperlink">
    <w:name w:val="Hyperlink"/>
    <w:rPr>
      <w:color w:val="0000FF"/>
      <w:u w:val="single"/>
    </w:rPr>
  </w:style>
  <w:style w:type="character" w:customStyle="1" w:styleId="IEEEParagraphChar">
    <w:name w:val="IEEE Paragraph Char"/>
    <w:link w:val="IEEEParagraph"/>
    <w:qFormat/>
    <w:rPr>
      <w:rFonts w:ascii="Times New Roman" w:eastAsia="SimSun" w:hAnsi="Times New Roman"/>
      <w:szCs w:val="24"/>
      <w:lang w:val="en-AU" w:eastAsia="zh-CN"/>
    </w:rPr>
  </w:style>
  <w:style w:type="character" w:customStyle="1" w:styleId="FootnoteTextChar">
    <w:name w:val="Footnote Text Char"/>
    <w:link w:val="FootnoteText"/>
    <w:qFormat/>
    <w:rPr>
      <w:rFonts w:ascii="Times New Roman" w:eastAsia="Times New Roman" w:hAnsi="Times New Roman"/>
      <w:lang w:val="id-ID"/>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BodyTextIndentChar">
    <w:name w:val="Body Text Indent Char"/>
    <w:link w:val="BodyTextIndent"/>
    <w:qFormat/>
    <w:rPr>
      <w:rFonts w:ascii="Times New Roman" w:eastAsia="Times New Roman" w:hAnsi="Times New Roman"/>
      <w:sz w:val="24"/>
      <w:szCs w:val="24"/>
      <w:lang w:val="en-GB"/>
    </w:rPr>
  </w:style>
  <w:style w:type="character" w:customStyle="1" w:styleId="IEEEAbstractHeadingChar">
    <w:name w:val="IEEE Abstract Heading Char"/>
    <w:link w:val="IEEEAbstractHeading"/>
    <w:qFormat/>
    <w:rPr>
      <w:rFonts w:ascii="Times New Roman" w:eastAsia="SimSun" w:hAnsi="Times New Roman"/>
      <w:b/>
      <w:i/>
      <w:sz w:val="18"/>
      <w:szCs w:val="24"/>
      <w:lang w:val="en-GB" w:eastAsia="en-GB"/>
    </w:rPr>
  </w:style>
  <w:style w:type="character" w:customStyle="1" w:styleId="IEEEAbtractChar">
    <w:name w:val="IEEE Abtract Char"/>
    <w:link w:val="IEEEAbtract"/>
    <w:qFormat/>
    <w:rPr>
      <w:rFonts w:ascii="Times New Roman" w:eastAsia="SimSun" w:hAnsi="Times New Roman"/>
      <w:b/>
      <w:sz w:val="18"/>
      <w:szCs w:val="24"/>
      <w:lang w:val="en-GB" w:eastAsia="en-GB"/>
    </w:rPr>
  </w:style>
  <w:style w:type="character" w:customStyle="1" w:styleId="st">
    <w:name w:val="st"/>
    <w:qFormat/>
  </w:style>
  <w:style w:type="character" w:styleId="Emphasis">
    <w:name w:val="Emphasis"/>
    <w:qFormat/>
    <w:rPr>
      <w:i/>
      <w:iCs/>
    </w:rPr>
  </w:style>
  <w:style w:type="character" w:styleId="PlaceholderText">
    <w:name w:val="Placeholder Text"/>
    <w:basedOn w:val="DefaultParagraphFont"/>
    <w:qFormat/>
    <w:rPr>
      <w:color w:val="808080"/>
    </w:rPr>
  </w:style>
  <w:style w:type="character" w:styleId="SubtleEmphasis">
    <w:name w:val="Subtle Emphasis"/>
    <w:basedOn w:val="DefaultParagraphFont"/>
    <w:qFormat/>
    <w:rPr>
      <w:i/>
      <w:iCs/>
      <w:color w:val="808080" w:themeColor="dark1" w:themeTint="7F"/>
    </w:rPr>
  </w:style>
  <w:style w:type="character" w:customStyle="1" w:styleId="SubtitleChar">
    <w:name w:val="Subtitle Char"/>
    <w:basedOn w:val="DefaultParagraphFont"/>
    <w:link w:val="Subtitle"/>
    <w:qFormat/>
    <w:rPr>
      <w:rFonts w:ascii="Cambria" w:eastAsia="MS Gothic" w:hAnsi="Cambria" w:cs="Times New Roman"/>
      <w:i/>
      <w:iCs/>
      <w:color w:val="4F81BD" w:themeColor="accent1"/>
      <w:spacing w:val="15"/>
      <w:sz w:val="24"/>
      <w:szCs w:val="24"/>
      <w:lang w:val="id-ID"/>
    </w:rPr>
  </w:style>
  <w:style w:type="character" w:styleId="FollowedHyperlink">
    <w:name w:val="FollowedHyperlink"/>
    <w:basedOn w:val="DefaultParagraphFont"/>
    <w:rPr>
      <w:color w:val="800080" w:themeColor="followedHyperlink"/>
      <w:u w:val="single"/>
    </w:rPr>
  </w:style>
  <w:style w:type="character" w:customStyle="1" w:styleId="apple-tab-span">
    <w:name w:val="apple-tab-span"/>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rFonts w:ascii="Times New Roman" w:eastAsia="Times New Roman" w:hAnsi="Times New Roman"/>
      <w:lang w:val="id-ID"/>
    </w:rPr>
  </w:style>
  <w:style w:type="character" w:customStyle="1" w:styleId="CommentSubjectChar">
    <w:name w:val="Comment Subject Char"/>
    <w:basedOn w:val="CommentTextChar"/>
    <w:link w:val="CommentSubject"/>
    <w:qFormat/>
    <w:rPr>
      <w:rFonts w:ascii="Times New Roman" w:eastAsia="Times New Roman" w:hAnsi="Times New Roman"/>
      <w:b/>
      <w:bCs/>
      <w:lang w:val="id-ID"/>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icsmbodytext">
    <w:name w:val="icsm_bodytext"/>
    <w:basedOn w:val="Normal"/>
    <w:qFormat/>
    <w:pPr>
      <w:ind w:firstLine="240"/>
    </w:pPr>
  </w:style>
  <w:style w:type="paragraph" w:customStyle="1" w:styleId="icsmheading1">
    <w:name w:val="icsm_heading1"/>
    <w:basedOn w:val="Normal"/>
    <w:qFormat/>
    <w:pPr>
      <w:numPr>
        <w:numId w:val="1"/>
      </w:numPr>
      <w:spacing w:after="120"/>
      <w:ind w:left="357" w:hanging="357"/>
      <w:outlineLvl w:val="0"/>
    </w:pPr>
    <w:rPr>
      <w:b/>
    </w:rPr>
  </w:style>
  <w:style w:type="paragraph" w:customStyle="1" w:styleId="icsmheading2">
    <w:name w:val="icsm_heading2"/>
    <w:basedOn w:val="Normal"/>
    <w:qFormat/>
    <w:pPr>
      <w:numPr>
        <w:numId w:val="4"/>
      </w:numPr>
      <w:spacing w:before="120" w:after="120"/>
      <w:ind w:left="357" w:hanging="357"/>
      <w:jc w:val="left"/>
    </w:pPr>
    <w:rPr>
      <w:b/>
    </w:rPr>
  </w:style>
  <w:style w:type="paragraph" w:customStyle="1" w:styleId="icsmtabletext">
    <w:name w:val="icsm_tabletext"/>
    <w:basedOn w:val="icsmbodytext"/>
    <w:qFormat/>
    <w:pPr>
      <w:spacing w:before="40"/>
      <w:ind w:firstLine="0"/>
      <w:jc w:val="left"/>
    </w:pPr>
    <w:rPr>
      <w:sz w:val="16"/>
    </w:rPr>
  </w:style>
  <w:style w:type="paragraph" w:customStyle="1" w:styleId="icsmfigurecaption">
    <w:name w:val="icsm_figurecaption"/>
    <w:basedOn w:val="Normal"/>
    <w:qFormat/>
    <w:pPr>
      <w:spacing w:before="200" w:after="240"/>
      <w:jc w:val="center"/>
    </w:pPr>
    <w:rPr>
      <w:sz w:val="16"/>
    </w:rPr>
  </w:style>
  <w:style w:type="paragraph" w:customStyle="1" w:styleId="icsmaddresses">
    <w:name w:val="icsm_addresses"/>
    <w:basedOn w:val="Normal"/>
    <w:link w:val="icsmaddressesChar"/>
    <w:qFormat/>
    <w:pPr>
      <w:spacing w:after="120"/>
      <w:jc w:val="center"/>
    </w:pPr>
    <w:rPr>
      <w:i/>
      <w:sz w:val="16"/>
      <w:lang w:eastAsia="x-none"/>
    </w:rPr>
  </w:style>
  <w:style w:type="paragraph" w:customStyle="1" w:styleId="icsmkeywords">
    <w:name w:val="icsm_keywords"/>
    <w:basedOn w:val="Normal"/>
    <w:qFormat/>
    <w:rPr>
      <w:sz w:val="16"/>
    </w:rPr>
  </w:style>
  <w:style w:type="paragraph" w:customStyle="1" w:styleId="icsmreferences">
    <w:name w:val="icsm_references"/>
    <w:basedOn w:val="Normal"/>
    <w:qFormat/>
    <w:pPr>
      <w:ind w:left="240" w:hanging="240"/>
    </w:pPr>
    <w:rPr>
      <w:sz w:val="16"/>
    </w:rPr>
  </w:style>
  <w:style w:type="paragraph" w:customStyle="1" w:styleId="icsmheading3">
    <w:name w:val="icsm_heading3"/>
    <w:basedOn w:val="Normal"/>
    <w:qFormat/>
    <w:pPr>
      <w:spacing w:before="240"/>
    </w:pPr>
    <w:rPr>
      <w:i/>
    </w:rPr>
  </w:style>
  <w:style w:type="paragraph" w:customStyle="1" w:styleId="op2005">
    <w:name w:val="op_2005"/>
    <w:basedOn w:val="Normal"/>
    <w:qFormat/>
    <w:pPr>
      <w:tabs>
        <w:tab w:val="left" w:pos="2520"/>
      </w:tabs>
      <w:spacing w:after="200"/>
      <w:jc w:val="center"/>
    </w:pPr>
    <w:rPr>
      <w:sz w:val="16"/>
    </w:rPr>
  </w:style>
  <w:style w:type="paragraph" w:customStyle="1" w:styleId="HeaderandFooter">
    <w:name w:val="Header and Footer"/>
    <w:basedOn w:val="Normal"/>
    <w:qFormat/>
  </w:style>
  <w:style w:type="paragraph" w:styleId="Header">
    <w:name w:val="header"/>
    <w:basedOn w:val="Normal"/>
    <w:link w:val="HeaderChar"/>
    <w:uiPriority w:val="99"/>
    <w:qFormat/>
    <w:pPr>
      <w:tabs>
        <w:tab w:val="center" w:pos="4680"/>
        <w:tab w:val="right" w:pos="9360"/>
      </w:tabs>
    </w:pPr>
    <w:rPr>
      <w:lang w:eastAsia="x-none"/>
    </w:rPr>
  </w:style>
  <w:style w:type="paragraph" w:styleId="Footer">
    <w:name w:val="footer"/>
    <w:basedOn w:val="Normal"/>
    <w:link w:val="FooterChar"/>
    <w:uiPriority w:val="99"/>
    <w:pPr>
      <w:tabs>
        <w:tab w:val="center" w:pos="4680"/>
        <w:tab w:val="right" w:pos="9360"/>
      </w:tabs>
    </w:pPr>
    <w:rPr>
      <w:lang w:eastAsia="x-none"/>
    </w:rPr>
  </w:style>
  <w:style w:type="paragraph" w:styleId="ListParagraph">
    <w:name w:val="List Paragraph"/>
    <w:basedOn w:val="Normal"/>
    <w:qFormat/>
    <w:pPr>
      <w:ind w:firstLine="0"/>
      <w:contextualSpacing/>
    </w:pPr>
    <w:rPr>
      <w:rFonts w:eastAsia="Calibri"/>
      <w:lang w:val="en-AU"/>
    </w:rPr>
  </w:style>
  <w:style w:type="paragraph" w:styleId="Title">
    <w:name w:val="Title"/>
    <w:basedOn w:val="Normal"/>
    <w:next w:val="Normal"/>
    <w:link w:val="TitleChar"/>
    <w:uiPriority w:val="10"/>
    <w:qFormat/>
    <w:pPr>
      <w:spacing w:after="120"/>
      <w:ind w:firstLine="0"/>
      <w:jc w:val="center"/>
    </w:pPr>
    <w:rPr>
      <w:b/>
      <w:bCs/>
      <w:kern w:val="2"/>
      <w:sz w:val="36"/>
      <w:szCs w:val="36"/>
      <w:lang w:eastAsia="x-none"/>
    </w:rPr>
  </w:style>
  <w:style w:type="paragraph" w:customStyle="1" w:styleId="Text">
    <w:name w:val="Text"/>
    <w:basedOn w:val="Normal"/>
    <w:link w:val="TextChar"/>
    <w:qFormat/>
    <w:pPr>
      <w:widowControl w:val="0"/>
      <w:spacing w:line="252" w:lineRule="auto"/>
      <w:ind w:firstLine="202"/>
    </w:pPr>
    <w:rPr>
      <w:lang w:val="x-none" w:eastAsia="x-none"/>
    </w:rPr>
  </w:style>
  <w:style w:type="paragraph" w:styleId="BalloonText">
    <w:name w:val="Balloon Text"/>
    <w:basedOn w:val="Normal"/>
    <w:link w:val="BalloonTextChar"/>
    <w:qFormat/>
    <w:rPr>
      <w:rFonts w:ascii="Tahoma" w:hAnsi="Tahoma"/>
      <w:sz w:val="16"/>
      <w:szCs w:val="16"/>
      <w:lang w:eastAsia="x-none"/>
    </w:rPr>
  </w:style>
  <w:style w:type="paragraph" w:customStyle="1" w:styleId="AuthorName">
    <w:name w:val="Author Name"/>
    <w:basedOn w:val="Normal"/>
    <w:link w:val="AuthorNameChar"/>
    <w:qFormat/>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pPr>
      <w:spacing w:after="0"/>
      <w:ind w:firstLine="0"/>
    </w:pPr>
  </w:style>
  <w:style w:type="paragraph" w:customStyle="1" w:styleId="TableContents">
    <w:name w:val="Table Contents"/>
    <w:basedOn w:val="Normal"/>
    <w:qFormat/>
  </w:style>
  <w:style w:type="paragraph" w:customStyle="1" w:styleId="TableHeading">
    <w:name w:val="Table Heading"/>
    <w:basedOn w:val="Normal"/>
    <w:link w:val="TableHeadingChar"/>
    <w:qFormat/>
    <w:pPr>
      <w:ind w:firstLine="0"/>
      <w:jc w:val="center"/>
    </w:pPr>
    <w:rPr>
      <w:smallCaps/>
      <w:sz w:val="16"/>
      <w:lang w:val="x-none" w:eastAsia="x-none"/>
    </w:rPr>
  </w:style>
  <w:style w:type="paragraph" w:customStyle="1" w:styleId="FigureHeading">
    <w:name w:val="Figure Heading"/>
    <w:basedOn w:val="Text"/>
    <w:link w:val="FigureHeadingChar"/>
    <w:qFormat/>
    <w:pPr>
      <w:ind w:firstLine="0"/>
      <w:jc w:val="center"/>
    </w:pPr>
    <w:rPr>
      <w:sz w:val="16"/>
      <w:szCs w:val="16"/>
    </w:rPr>
  </w:style>
  <w:style w:type="paragraph" w:customStyle="1" w:styleId="IEEEHeading2">
    <w:name w:val="IEEE Heading 2"/>
    <w:basedOn w:val="Normal"/>
    <w:next w:val="IEEEParagraph"/>
    <w:qFormat/>
    <w:pPr>
      <w:numPr>
        <w:numId w:val="7"/>
      </w:numPr>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qFormat/>
    <w:pPr>
      <w:snapToGrid w:val="0"/>
      <w:ind w:firstLine="216"/>
    </w:pPr>
    <w:rPr>
      <w:rFonts w:eastAsia="SimSun"/>
      <w:szCs w:val="24"/>
      <w:lang w:val="en-AU" w:eastAsia="zh-CN"/>
    </w:rPr>
  </w:style>
  <w:style w:type="paragraph" w:customStyle="1" w:styleId="IEEEHeading1">
    <w:name w:val="IEEE Heading 1"/>
    <w:basedOn w:val="Normal"/>
    <w:next w:val="IEEEParagraph"/>
    <w:qFormat/>
    <w:pPr>
      <w:numPr>
        <w:numId w:val="8"/>
      </w:numPr>
      <w:snapToGrid w:val="0"/>
      <w:spacing w:before="180" w:after="60"/>
      <w:ind w:left="289" w:hanging="289"/>
      <w:jc w:val="center"/>
    </w:pPr>
    <w:rPr>
      <w:rFonts w:eastAsia="SimSun"/>
      <w:smallCaps/>
      <w:szCs w:val="24"/>
      <w:lang w:val="en-AU" w:eastAsia="zh-CN"/>
    </w:rPr>
  </w:style>
  <w:style w:type="paragraph" w:customStyle="1" w:styleId="IEEEReferenceItem">
    <w:name w:val="IEEE Reference Item"/>
    <w:basedOn w:val="Normal"/>
    <w:qFormat/>
    <w:pPr>
      <w:tabs>
        <w:tab w:val="left" w:pos="432"/>
      </w:tabs>
      <w:snapToGrid w:val="0"/>
      <w:ind w:left="432" w:hanging="432"/>
    </w:pPr>
    <w:rPr>
      <w:rFonts w:eastAsia="SimSun"/>
      <w:sz w:val="16"/>
      <w:szCs w:val="24"/>
      <w:lang w:val="en-US" w:eastAsia="zh-CN"/>
    </w:rPr>
  </w:style>
  <w:style w:type="paragraph" w:styleId="FootnoteText">
    <w:name w:val="footnote text"/>
    <w:basedOn w:val="Normal"/>
    <w:link w:val="FootnoteTextChar"/>
    <w:rPr>
      <w:lang w:eastAsia="x-none"/>
    </w:rPr>
  </w:style>
  <w:style w:type="paragraph" w:styleId="BodyTextIndent">
    <w:name w:val="Body Text Indent"/>
    <w:basedOn w:val="Normal"/>
    <w:link w:val="BodyTextIndentChar"/>
    <w:pPr>
      <w:spacing w:line="360" w:lineRule="auto"/>
      <w:ind w:left="720" w:firstLine="0"/>
    </w:pPr>
    <w:rPr>
      <w:sz w:val="24"/>
      <w:szCs w:val="24"/>
      <w:lang w:val="en-GB" w:eastAsia="x-none"/>
    </w:rPr>
  </w:style>
  <w:style w:type="paragraph" w:customStyle="1" w:styleId="IEEEAbstractHeading">
    <w:name w:val="IEEE Abstract Heading"/>
    <w:basedOn w:val="IEEEAbtract"/>
    <w:next w:val="IEEEAbtract"/>
    <w:link w:val="IEEEAbstractHeadingChar"/>
    <w:qFormat/>
    <w:rPr>
      <w:i/>
    </w:rPr>
  </w:style>
  <w:style w:type="paragraph" w:customStyle="1" w:styleId="IEEEAbtract">
    <w:name w:val="IEEE Abtract"/>
    <w:basedOn w:val="Normal"/>
    <w:next w:val="Normal"/>
    <w:link w:val="IEEEAbtractChar"/>
    <w:qFormat/>
    <w:pPr>
      <w:snapToGrid w:val="0"/>
      <w:ind w:firstLine="0"/>
    </w:pPr>
    <w:rPr>
      <w:rFonts w:eastAsia="SimSun"/>
      <w:b/>
      <w:sz w:val="18"/>
      <w:szCs w:val="24"/>
      <w:lang w:val="en-GB" w:eastAsia="en-GB"/>
    </w:rPr>
  </w:style>
  <w:style w:type="paragraph" w:customStyle="1" w:styleId="icsmabstract">
    <w:name w:val="icsm_abstract"/>
    <w:basedOn w:val="Normal"/>
    <w:qFormat/>
    <w:pPr>
      <w:spacing w:after="220"/>
      <w:ind w:firstLine="240"/>
    </w:pPr>
    <w:rPr>
      <w:sz w:val="18"/>
      <w:lang w:val="en-GB"/>
    </w:rPr>
  </w:style>
  <w:style w:type="paragraph" w:styleId="Subtitle">
    <w:name w:val="Subtitle"/>
    <w:basedOn w:val="Normal"/>
    <w:next w:val="Normal"/>
    <w:link w:val="SubtitleChar"/>
    <w:uiPriority w:val="11"/>
    <w:qFormat/>
    <w:rPr>
      <w:rFonts w:ascii="Cambria" w:eastAsia="MS Gothic" w:hAnsi="Cambria"/>
      <w:i/>
      <w:iCs/>
      <w:color w:val="4F81BD" w:themeColor="accent1"/>
      <w:spacing w:val="15"/>
      <w:sz w:val="24"/>
      <w:szCs w:val="24"/>
    </w:rPr>
  </w:style>
  <w:style w:type="paragraph" w:styleId="NormalWeb">
    <w:name w:val="Normal (Web)"/>
    <w:basedOn w:val="Normal"/>
    <w:qFormat/>
    <w:pPr>
      <w:spacing w:before="280" w:after="280"/>
      <w:ind w:firstLine="0"/>
      <w:jc w:val="left"/>
    </w:pPr>
    <w:rPr>
      <w:sz w:val="24"/>
      <w:szCs w:val="24"/>
      <w:lang w:val="en-ID" w:eastAsia="ja-JP"/>
    </w:rPr>
  </w:style>
  <w:style w:type="paragraph" w:styleId="Revision">
    <w:name w:val="Revision"/>
    <w:qFormat/>
    <w:pPr>
      <w:overflowPunct w:val="0"/>
    </w:pPr>
    <w:rPr>
      <w:rFonts w:ascii="Times New Roman" w:eastAsia="Times New Roman" w:hAnsi="Times New Roman"/>
      <w:lang w:val="id-ID"/>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qFormat/>
    <w:rPr>
      <w:b/>
      <w:bCs/>
    </w:rPr>
  </w:style>
  <w:style w:type="paragraph" w:customStyle="1" w:styleId="Comment">
    <w:name w:val="Comment"/>
    <w:basedOn w:val="Normal"/>
    <w:qFormat/>
  </w:style>
  <w:style w:type="numbering" w:customStyle="1" w:styleId="IEEEBullet1">
    <w:name w:val="IEEE Bullet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E6FBC-E406-40E6-BBC0-D87D64DAD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4922</Words>
  <Characters>28060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Robeth Viktoria Manurung</dc:creator>
  <dc:description/>
  <cp:lastModifiedBy>lenovopf4wb9gh@outlook.com</cp:lastModifiedBy>
  <cp:revision>5</cp:revision>
  <dcterms:created xsi:type="dcterms:W3CDTF">2025-12-17T13:44:00Z</dcterms:created>
  <dcterms:modified xsi:type="dcterms:W3CDTF">2025-12-24T06:03:00Z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f0c2c840-77da-4eb1-ba16-2e6d34f48608</vt:lpwstr>
  </property>
</Properties>
</file>