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D89B2">
      <w:pPr>
        <w:pStyle w:val="23"/>
        <w:spacing w:after="0"/>
      </w:pPr>
      <w:r>
        <w:t>Comparative Analysis and Mitigation of Extremely Low Frequency (ELF) Magnetic Field Exposure from Smartphone Internal</w:t>
      </w:r>
    </w:p>
    <w:p w14:paraId="4DC85FD8"/>
    <w:p w14:paraId="1B11D277">
      <w:pPr>
        <w:pStyle w:val="44"/>
      </w:pPr>
      <w:r>
        <w:rPr>
          <w:lang w:val="en-US"/>
        </w:rPr>
        <w:t>Bayu Wira Yudha</w:t>
      </w:r>
      <w:r>
        <w:t xml:space="preserve">, </w:t>
      </w:r>
      <w:r>
        <w:rPr>
          <w:lang w:val="en-US"/>
        </w:rPr>
        <w:t>Hasballah Zakaria</w:t>
      </w:r>
      <w:r>
        <w:rPr>
          <w:vertAlign w:val="superscript"/>
          <w:lang w:val="en-US"/>
        </w:rPr>
        <w:t>*</w:t>
      </w:r>
    </w:p>
    <w:p w14:paraId="15C3CF6A">
      <w:pPr>
        <w:pStyle w:val="45"/>
        <w:rPr>
          <w:sz w:val="18"/>
          <w:szCs w:val="18"/>
        </w:rPr>
      </w:pPr>
      <w:commentRangeStart w:id="0"/>
      <w:r>
        <w:rPr>
          <w:sz w:val="18"/>
          <w:szCs w:val="18"/>
          <w:lang w:val="en-US"/>
        </w:rPr>
        <w:t>School of Electrical Engineering and Informatics</w:t>
      </w:r>
      <w:r>
        <w:rPr>
          <w:sz w:val="18"/>
          <w:szCs w:val="18"/>
        </w:rPr>
        <w:t xml:space="preserve"> </w:t>
      </w:r>
    </w:p>
    <w:p w14:paraId="13F8C11E">
      <w:pPr>
        <w:pStyle w:val="45"/>
        <w:rPr>
          <w:sz w:val="18"/>
          <w:szCs w:val="18"/>
        </w:rPr>
      </w:pPr>
      <w:r>
        <w:rPr>
          <w:sz w:val="18"/>
          <w:szCs w:val="18"/>
          <w:lang w:val="en-US"/>
        </w:rPr>
        <w:t>Institut Teknologi Bandung</w:t>
      </w:r>
    </w:p>
    <w:p w14:paraId="49156ACC">
      <w:pPr>
        <w:pStyle w:val="45"/>
        <w:rPr>
          <w:sz w:val="18"/>
          <w:szCs w:val="18"/>
        </w:rPr>
      </w:pPr>
      <w:r>
        <w:rPr>
          <w:sz w:val="18"/>
          <w:szCs w:val="18"/>
        </w:rPr>
        <w:t xml:space="preserve">Jl. Ganesa No.10 </w:t>
      </w:r>
    </w:p>
    <w:p w14:paraId="4AE7163D">
      <w:pPr>
        <w:pStyle w:val="45"/>
        <w:rPr>
          <w:sz w:val="18"/>
          <w:szCs w:val="18"/>
          <w:lang w:val="en-US"/>
        </w:rPr>
      </w:pPr>
      <w:r>
        <w:rPr>
          <w:sz w:val="18"/>
          <w:szCs w:val="18"/>
          <w:lang w:val="en-US"/>
        </w:rPr>
        <w:t>Bandung</w:t>
      </w:r>
      <w:r>
        <w:rPr>
          <w:sz w:val="18"/>
          <w:szCs w:val="18"/>
        </w:rPr>
        <w:t>,</w:t>
      </w:r>
      <w:r>
        <w:rPr>
          <w:sz w:val="18"/>
          <w:szCs w:val="18"/>
          <w:lang w:val="en-US"/>
        </w:rPr>
        <w:t xml:space="preserve"> Indonesia</w:t>
      </w:r>
      <w:commentRangeEnd w:id="0"/>
      <w:r>
        <w:rPr>
          <w:rStyle w:val="11"/>
          <w:i w:val="0"/>
          <w:lang w:eastAsia="en-US"/>
        </w:rPr>
        <w:commentReference w:id="0"/>
      </w:r>
    </w:p>
    <w:p w14:paraId="4C978A23">
      <w:pPr>
        <w:pStyle w:val="45"/>
        <w:pBdr>
          <w:bottom w:val="single" w:color="auto" w:sz="6" w:space="1"/>
        </w:pBdr>
        <w:jc w:val="both"/>
        <w:rPr>
          <w:color w:val="FF0000"/>
          <w:sz w:val="18"/>
          <w:szCs w:val="18"/>
        </w:rPr>
      </w:pPr>
    </w:p>
    <w:p w14:paraId="6C9B50CE">
      <w:pPr>
        <w:spacing w:before="120" w:after="120"/>
        <w:ind w:firstLine="0"/>
        <w:jc w:val="center"/>
        <w:rPr>
          <w:b/>
          <w:sz w:val="18"/>
          <w:szCs w:val="18"/>
          <w:lang w:val="en-US"/>
        </w:rPr>
      </w:pPr>
      <w:r>
        <w:rPr>
          <w:b/>
          <w:sz w:val="18"/>
          <w:szCs w:val="18"/>
          <w:lang w:val="en-US"/>
        </w:rPr>
        <w:t>Abstract</w:t>
      </w:r>
    </w:p>
    <w:p w14:paraId="7E94C0AA">
      <w:pPr>
        <w:rPr>
          <w:sz w:val="18"/>
          <w:szCs w:val="18"/>
        </w:rPr>
      </w:pPr>
      <w:r>
        <w:rPr>
          <w:sz w:val="18"/>
          <w:szCs w:val="18"/>
        </w:rPr>
        <w:t>While public concern regarding smartphone electromagnetic field (EMF) exposure is largely focused on radio frequency (RF) emissions, this study investigates the overlooked extremely low frequency (ELF) magnetic fields originating from internal hardware circuits, such as the Power Management Integrated Circuit (PMIC). This research employs a quantitative experimental methodology to characterize and compare the near-field emissions of two smartphone models with distinct internal architectures: the Xiaomi Redmi Note 8 Pro (12nm mid-range chipset) and the Samsung Galaxy S23 (4nm premium chipset). Magnetic field intensity measurements were conducted using a Hall-effect Gaussmeter, both in free space and with a 3D-printed cubic head phantom fabricated from PETG and filled with a conductive saline-based tissue-simulating liquid (TSL). The primary findings reveal unique ELF emission "fingerprints," where the premium-engineered device exhibits a peak exposure of 0.269 mT—nearly three times lower than its mid-range counterpart at 0.799 mT. Theoretical analysis utilizing the Biot-Savart Law attributes this reduction to the minimized current loop areas inherent in advanced 4nm process nodes compared to older 12nm architectures. Quantitative analysis of mitigation strategies demonstrates that spatial separation (a 15 cm distance) is the most dominant factor, achieving up to 90.7% attenuation, which surpasses the material shielding provided by the phantom (82.0%). Although peak contact exposure can exceed the ICNIRP reference level, the rapid near-field decay ensures compliance at minimal practical distances. This study concludes that ELF exposure is a function of engineering quality rather than network technology, and mitigation is most effectively achieved through physical distance.</w:t>
      </w:r>
    </w:p>
    <w:p w14:paraId="159E2140">
      <w:pPr>
        <w:rPr>
          <w:sz w:val="18"/>
          <w:szCs w:val="18"/>
        </w:rPr>
      </w:pPr>
    </w:p>
    <w:p w14:paraId="1B9335F8">
      <w:pPr>
        <w:ind w:firstLine="0"/>
        <w:rPr>
          <w:sz w:val="18"/>
          <w:szCs w:val="18"/>
        </w:rPr>
      </w:pPr>
      <w:r>
        <w:rPr>
          <w:b/>
          <w:bCs/>
          <w:sz w:val="18"/>
          <w:szCs w:val="18"/>
        </w:rPr>
        <w:t>Keywords</w:t>
      </w:r>
      <w:r>
        <w:rPr>
          <w:sz w:val="18"/>
          <w:szCs w:val="18"/>
        </w:rPr>
        <w:t>: electromagnetic fields (EMF), extremely low frequency (ELF), exposure mitigation, 3D printed phantom, smartphone design, electromagnetic compatibility (EMC).</w:t>
      </w:r>
    </w:p>
    <w:p w14:paraId="473E851C">
      <w:pPr>
        <w:pBdr>
          <w:bottom w:val="single" w:color="auto" w:sz="6" w:space="1"/>
        </w:pBdr>
        <w:ind w:firstLine="0"/>
        <w:rPr>
          <w:rStyle w:val="67"/>
          <w:i/>
          <w:color w:val="FF0000"/>
          <w:szCs w:val="18"/>
        </w:rPr>
      </w:pPr>
    </w:p>
    <w:p w14:paraId="448561F5">
      <w:pPr>
        <w:rPr>
          <w:color w:val="FF0000"/>
          <w:lang w:val="en-US"/>
        </w:rPr>
      </w:pPr>
    </w:p>
    <w:p w14:paraId="4C0BC53A">
      <w:pPr>
        <w:rPr>
          <w:color w:val="FF0000"/>
          <w:lang w:val="en-US"/>
        </w:rPr>
        <w:sectPr>
          <w:headerReference r:id="rId7" w:type="first"/>
          <w:footerReference r:id="rId10" w:type="first"/>
          <w:headerReference r:id="rId5" w:type="default"/>
          <w:footerReference r:id="rId8" w:type="default"/>
          <w:headerReference r:id="rId6" w:type="even"/>
          <w:footerReference r:id="rId9" w:type="even"/>
          <w:footnotePr>
            <w:numFmt w:val="chicago"/>
            <w:numRestart w:val="eachPage"/>
          </w:footnotePr>
          <w:type w:val="continuous"/>
          <w:pgSz w:w="11906" w:h="16838"/>
          <w:pgMar w:top="1134" w:right="1134" w:bottom="1134" w:left="1418" w:header="720" w:footer="720" w:gutter="0"/>
          <w:pgNumType w:fmt="decimal" w:start="141"/>
          <w:cols w:space="284" w:num="1"/>
          <w:titlePg/>
          <w:docGrid w:linePitch="272" w:charSpace="0"/>
        </w:sectPr>
      </w:pPr>
    </w:p>
    <w:p w14:paraId="7A9A1803">
      <w:pPr>
        <w:pStyle w:val="2"/>
        <w:spacing w:before="0"/>
      </w:pPr>
      <w:r>
        <w:t>Introduction</w:t>
      </w:r>
    </w:p>
    <w:p w14:paraId="38608675">
      <w:pPr>
        <w:rPr>
          <w:lang w:val="en-US"/>
        </w:rPr>
      </w:pPr>
      <w:r>
        <w:rPr>
          <w:lang w:eastAsia="id-ID"/>
        </w:rPr>
        <mc:AlternateContent>
          <mc:Choice Requires="wps">
            <w:drawing>
              <wp:anchor distT="0" distB="0" distL="114300" distR="114300" simplePos="0" relativeHeight="251661312" behindDoc="1" locked="0" layoutInCell="1" allowOverlap="1">
                <wp:simplePos x="0" y="0"/>
                <wp:positionH relativeFrom="column">
                  <wp:posOffset>-78740</wp:posOffset>
                </wp:positionH>
                <wp:positionV relativeFrom="margin">
                  <wp:posOffset>8000365</wp:posOffset>
                </wp:positionV>
                <wp:extent cx="2915920" cy="956945"/>
                <wp:effectExtent l="0" t="0" r="0" b="0"/>
                <wp:wrapSquare wrapText="bothSides"/>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2915920" cy="956945"/>
                        </a:xfrm>
                        <a:prstGeom prst="rect">
                          <a:avLst/>
                        </a:prstGeom>
                        <a:noFill/>
                        <a:ln>
                          <a:noFill/>
                        </a:ln>
                        <a:effectLst/>
                      </wps:spPr>
                      <wps:txbx>
                        <w:txbxContent>
                          <w:p w14:paraId="11122F2A">
                            <w:pPr>
                              <w:widowControl w:val="0"/>
                              <w:pBdr>
                                <w:top w:val="single" w:color="auto" w:sz="6" w:space="1"/>
                              </w:pBdr>
                              <w:autoSpaceDE w:val="0"/>
                              <w:autoSpaceDN w:val="0"/>
                              <w:adjustRightInd w:val="0"/>
                              <w:ind w:right="-28" w:firstLine="0"/>
                              <w:jc w:val="left"/>
                              <w:rPr>
                                <w:i/>
                                <w:color w:val="auto"/>
                                <w:w w:val="104"/>
                                <w:sz w:val="16"/>
                                <w:szCs w:val="16"/>
                              </w:rPr>
                            </w:pPr>
                            <w:bookmarkStart w:id="1" w:name="_Hlk91702109"/>
                            <w:bookmarkEnd w:id="1"/>
                            <w:r>
                              <w:rPr>
                                <w:i/>
                                <w:color w:val="auto"/>
                                <w:w w:val="104"/>
                                <w:sz w:val="16"/>
                                <w:szCs w:val="16"/>
                              </w:rPr>
                              <w:t xml:space="preserve">* </w:t>
                            </w:r>
                            <w:r>
                              <w:rPr>
                                <w:color w:val="auto"/>
                                <w:w w:val="104"/>
                                <w:sz w:val="16"/>
                                <w:szCs w:val="16"/>
                              </w:rPr>
                              <w:t>Corresponding Author</w:t>
                            </w:r>
                            <w:r>
                              <w:rPr>
                                <w:i/>
                                <w:color w:val="auto"/>
                                <w:w w:val="104"/>
                                <w:sz w:val="16"/>
                                <w:szCs w:val="16"/>
                              </w:rPr>
                              <w:t xml:space="preserve">. </w:t>
                            </w:r>
                          </w:p>
                          <w:p w14:paraId="219587A1">
                            <w:pPr>
                              <w:pStyle w:val="45"/>
                              <w:jc w:val="left"/>
                              <w:rPr>
                                <w:i w:val="0"/>
                                <w:color w:val="auto"/>
                                <w:szCs w:val="16"/>
                                <w:lang w:val="en-US"/>
                              </w:rPr>
                            </w:pPr>
                            <w:r>
                              <w:rPr>
                                <w:i w:val="0"/>
                                <w:color w:val="auto"/>
                                <w:w w:val="104"/>
                                <w:szCs w:val="16"/>
                              </w:rPr>
                              <w:t xml:space="preserve">Email: </w:t>
                            </w:r>
                            <w:r>
                              <w:rPr>
                                <w:rFonts w:hint="default"/>
                                <w:i w:val="0"/>
                                <w:color w:val="auto"/>
                                <w:w w:val="104"/>
                                <w:szCs w:val="16"/>
                              </w:rPr>
                              <w:t>hasballah@stei.itb.ac.id</w:t>
                            </w:r>
                            <w:r>
                              <w:rPr>
                                <w:i w:val="0"/>
                                <w:color w:val="auto"/>
                                <w:w w:val="104"/>
                                <w:szCs w:val="16"/>
                              </w:rPr>
                              <w:t xml:space="preserve">  </w:t>
                            </w:r>
                          </w:p>
                          <w:p w14:paraId="03FF5495">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Received:</w:t>
                            </w:r>
                            <w:r>
                              <w:rPr>
                                <w:rFonts w:hint="default"/>
                                <w:color w:val="000000" w:themeColor="text1"/>
                                <w:w w:val="104"/>
                                <w:sz w:val="16"/>
                                <w:szCs w:val="16"/>
                                <w:lang w:val="en-US"/>
                                <w14:textFill>
                                  <w14:solidFill>
                                    <w14:schemeClr w14:val="tx1"/>
                                  </w14:solidFill>
                                </w14:textFill>
                              </w:rPr>
                              <w:t xml:space="preserve"> Agustus 14</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5</w:t>
                            </w:r>
                            <w:r>
                              <w:rPr>
                                <w:rFonts w:hint="default"/>
                                <w:color w:val="000000" w:themeColor="text1"/>
                                <w:w w:val="104"/>
                                <w:sz w:val="16"/>
                                <w:szCs w:val="16"/>
                                <w:lang w:val="en-US"/>
                                <w14:textFill>
                                  <w14:solidFill>
                                    <w14:schemeClr w14:val="tx1"/>
                                  </w14:solidFill>
                                </w14:textFill>
                              </w:rPr>
                              <w:tab/>
                            </w:r>
                            <w:r>
                              <w:rPr>
                                <w:rFonts w:hint="default"/>
                                <w:color w:val="000000" w:themeColor="text1"/>
                                <w:w w:val="104"/>
                                <w:sz w:val="16"/>
                                <w:szCs w:val="16"/>
                                <w:lang w:val="en-US"/>
                                <w14:textFill>
                                  <w14:solidFill>
                                    <w14:schemeClr w14:val="tx1"/>
                                  </w14:solidFill>
                                </w14:textFill>
                              </w:rPr>
                              <w:tab/>
                            </w:r>
                            <w:r>
                              <w:rPr>
                                <w:color w:val="000000" w:themeColor="text1"/>
                                <w:w w:val="104"/>
                                <w:sz w:val="16"/>
                                <w:szCs w:val="16"/>
                                <w14:textFill>
                                  <w14:solidFill>
                                    <w14:schemeClr w14:val="tx1"/>
                                  </w14:solidFill>
                                </w14:textFill>
                              </w:rPr>
                              <w:t>;</w:t>
                            </w:r>
                            <w:r>
                              <w:rPr>
                                <w:color w:val="000000" w:themeColor="text1"/>
                                <w:w w:val="104"/>
                                <w:sz w:val="16"/>
                                <w:szCs w:val="16"/>
                                <w:lang w:val="en-US"/>
                                <w14:textFill>
                                  <w14:solidFill>
                                    <w14:schemeClr w14:val="tx1"/>
                                  </w14:solidFill>
                                </w14:textFill>
                              </w:rPr>
                              <w:t xml:space="preserve"> </w:t>
                            </w:r>
                            <w:r>
                              <w:rPr>
                                <w:color w:val="000000" w:themeColor="text1"/>
                                <w:w w:val="104"/>
                                <w:sz w:val="16"/>
                                <w:szCs w:val="16"/>
                                <w14:textFill>
                                  <w14:solidFill>
                                    <w14:schemeClr w14:val="tx1"/>
                                  </w14:solidFill>
                                </w14:textFill>
                              </w:rPr>
                              <w:t xml:space="preserve">Revised: </w:t>
                            </w:r>
                            <w:r>
                              <w:rPr>
                                <w:rFonts w:hint="default"/>
                                <w:color w:val="000000" w:themeColor="text1"/>
                                <w:w w:val="104"/>
                                <w:sz w:val="16"/>
                                <w:szCs w:val="16"/>
                                <w:lang w:val="en-US"/>
                                <w14:textFill>
                                  <w14:solidFill>
                                    <w14:schemeClr w14:val="tx1"/>
                                  </w14:solidFill>
                                </w14:textFill>
                              </w:rPr>
                              <w:t>November 3</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5</w:t>
                            </w:r>
                          </w:p>
                          <w:p w14:paraId="77B083CB">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Accepted:</w:t>
                            </w:r>
                            <w:r>
                              <w:rPr>
                                <w:rFonts w:hint="default"/>
                                <w:color w:val="000000" w:themeColor="text1"/>
                                <w:w w:val="104"/>
                                <w:sz w:val="16"/>
                                <w:szCs w:val="16"/>
                                <w:lang w:val="en-US"/>
                                <w14:textFill>
                                  <w14:solidFill>
                                    <w14:schemeClr w14:val="tx1"/>
                                  </w14:solidFill>
                                </w14:textFill>
                              </w:rPr>
                              <w:t xml:space="preserve"> December 9</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5</w:t>
                            </w:r>
                            <w:r>
                              <w:rPr>
                                <w:color w:val="000000" w:themeColor="text1"/>
                                <w:w w:val="104"/>
                                <w:sz w:val="16"/>
                                <w:szCs w:val="16"/>
                                <w14:textFill>
                                  <w14:solidFill>
                                    <w14:schemeClr w14:val="tx1"/>
                                  </w14:solidFill>
                                </w14:textFill>
                              </w:rPr>
                              <w:tab/>
                            </w:r>
                            <w:r>
                              <w:rPr>
                                <w:rFonts w:hint="default"/>
                                <w:color w:val="000000" w:themeColor="text1"/>
                                <w:w w:val="104"/>
                                <w:sz w:val="16"/>
                                <w:szCs w:val="16"/>
                                <w:lang w:val="en-US"/>
                                <w14:textFill>
                                  <w14:solidFill>
                                    <w14:schemeClr w14:val="tx1"/>
                                  </w14:solidFill>
                                </w14:textFill>
                              </w:rPr>
                              <w:tab/>
                            </w:r>
                            <w:r>
                              <w:rPr>
                                <w:color w:val="000000" w:themeColor="text1"/>
                                <w:w w:val="104"/>
                                <w:sz w:val="16"/>
                                <w:szCs w:val="16"/>
                                <w14:textFill>
                                  <w14:solidFill>
                                    <w14:schemeClr w14:val="tx1"/>
                                  </w14:solidFill>
                                </w14:textFill>
                              </w:rPr>
                              <w:t xml:space="preserve">; Published: </w:t>
                            </w:r>
                            <w:r>
                              <w:rPr>
                                <w:rFonts w:hint="default"/>
                                <w:color w:val="000000" w:themeColor="text1"/>
                                <w:w w:val="104"/>
                                <w:sz w:val="16"/>
                                <w:szCs w:val="16"/>
                                <w:lang w:val="en-US"/>
                                <w14:textFill>
                                  <w14:solidFill>
                                    <w14:schemeClr w14:val="tx1"/>
                                  </w14:solidFill>
                                </w14:textFill>
                              </w:rPr>
                              <w:t xml:space="preserve">December </w:t>
                            </w:r>
                            <w:r>
                              <w:rPr>
                                <w:color w:val="000000" w:themeColor="text1"/>
                                <w:w w:val="104"/>
                                <w:sz w:val="16"/>
                                <w:szCs w:val="16"/>
                                <w14:textFill>
                                  <w14:solidFill>
                                    <w14:schemeClr w14:val="tx1"/>
                                  </w14:solidFill>
                                </w14:textFill>
                              </w:rPr>
                              <w:t>31, 202</w:t>
                            </w:r>
                            <w:r>
                              <w:rPr>
                                <w:rFonts w:hint="default"/>
                                <w:color w:val="000000" w:themeColor="text1"/>
                                <w:w w:val="104"/>
                                <w:sz w:val="16"/>
                                <w:szCs w:val="16"/>
                                <w:lang w:val="en-US"/>
                                <w14:textFill>
                                  <w14:solidFill>
                                    <w14:schemeClr w14:val="tx1"/>
                                  </w14:solidFill>
                                </w14:textFill>
                              </w:rPr>
                              <w:t>5</w:t>
                            </w:r>
                          </w:p>
                          <w:p w14:paraId="105766DB">
                            <w:pPr>
                              <w:widowControl w:val="0"/>
                              <w:tabs>
                                <w:tab w:val="left" w:pos="1985"/>
                              </w:tabs>
                              <w:autoSpaceDE w:val="0"/>
                              <w:autoSpaceDN w:val="0"/>
                              <w:adjustRightInd w:val="0"/>
                              <w:ind w:right="-28" w:firstLine="0"/>
                              <w:rPr>
                                <w:rFonts w:eastAsia="Calibri"/>
                                <w:color w:val="000000" w:themeColor="text1"/>
                                <w:sz w:val="16"/>
                                <w:szCs w:val="16"/>
                                <w:lang w:val="en-US"/>
                                <w14:textFill>
                                  <w14:solidFill>
                                    <w14:schemeClr w14:val="tx1"/>
                                  </w14:solidFill>
                                </w14:textFill>
                              </w:rPr>
                            </w:pPr>
                          </w:p>
                          <w:p w14:paraId="3F7C198F">
                            <w:pPr>
                              <w:widowControl w:val="0"/>
                              <w:tabs>
                                <w:tab w:val="left" w:pos="1985"/>
                              </w:tabs>
                              <w:autoSpaceDE w:val="0"/>
                              <w:autoSpaceDN w:val="0"/>
                              <w:adjustRightInd w:val="0"/>
                              <w:ind w:right="-28" w:firstLine="0"/>
                              <w:rPr>
                                <w:rFonts w:eastAsia="Calibri"/>
                                <w:color w:val="000000" w:themeColor="text1"/>
                                <w:sz w:val="16"/>
                                <w:szCs w:val="16"/>
                                <w14:textFill>
                                  <w14:solidFill>
                                    <w14:schemeClr w14:val="tx1"/>
                                  </w14:solidFill>
                                </w14:textFill>
                              </w:rPr>
                            </w:pPr>
                            <w:r>
                              <w:rPr>
                                <w:rFonts w:eastAsia="Calibri"/>
                                <w:color w:val="000000" w:themeColor="text1"/>
                                <w:sz w:val="16"/>
                                <w:szCs w:val="16"/>
                                <w:lang w:val="en-US"/>
                                <w14:textFill>
                                  <w14:solidFill>
                                    <w14:schemeClr w14:val="tx1"/>
                                  </w14:solidFill>
                                </w14:textFill>
                              </w:rPr>
                              <w:t>Open access under CC-BY-NC-SA</w:t>
                            </w:r>
                          </w:p>
                          <w:p w14:paraId="4F25ED5A">
                            <w:pPr>
                              <w:widowControl w:val="0"/>
                              <w:tabs>
                                <w:tab w:val="left" w:pos="1985"/>
                              </w:tabs>
                              <w:autoSpaceDE w:val="0"/>
                              <w:autoSpaceDN w:val="0"/>
                              <w:adjustRightInd w:val="0"/>
                              <w:ind w:right="-28" w:firstLine="0"/>
                              <w:rPr>
                                <w:color w:val="000000" w:themeColor="text1"/>
                                <w:w w:val="104"/>
                                <w:sz w:val="16"/>
                                <w:szCs w:val="16"/>
                                <w14:textFill>
                                  <w14:solidFill>
                                    <w14:schemeClr w14:val="tx1"/>
                                  </w14:solidFill>
                                </w14:textFill>
                              </w:rPr>
                            </w:pPr>
                            <w:r>
                              <w:rPr>
                                <w:color w:val="000000" w:themeColor="text1"/>
                                <w:w w:val="104"/>
                                <w:sz w:val="16"/>
                                <w:szCs w:val="16"/>
                                <w14:textFill>
                                  <w14:solidFill>
                                    <w14:schemeClr w14:val="tx1"/>
                                  </w14:solidFill>
                                </w14:textFill>
                              </w:rPr>
                              <w:sym w:font="Symbol" w:char="F0D3"/>
                            </w:r>
                            <w:r>
                              <w:rPr>
                                <w:color w:val="000000" w:themeColor="text1"/>
                                <w:w w:val="104"/>
                                <w:sz w:val="16"/>
                                <w:szCs w:val="16"/>
                                <w14:textFill>
                                  <w14:solidFill>
                                    <w14:schemeClr w14:val="tx1"/>
                                  </w14:solidFill>
                                </w14:textFill>
                              </w:rPr>
                              <w:t xml:space="preserve"> 202</w:t>
                            </w:r>
                            <w:r>
                              <w:rPr>
                                <w:rFonts w:hint="default"/>
                                <w:color w:val="000000" w:themeColor="text1"/>
                                <w:w w:val="104"/>
                                <w:sz w:val="16"/>
                                <w:szCs w:val="16"/>
                                <w:lang w:val="en-US"/>
                                <w14:textFill>
                                  <w14:solidFill>
                                    <w14:schemeClr w14:val="tx1"/>
                                  </w14:solidFill>
                                </w14:textFill>
                              </w:rPr>
                              <w:t>5</w:t>
                            </w:r>
                            <w:r>
                              <w:rPr>
                                <w:color w:val="000000" w:themeColor="text1"/>
                                <w:w w:val="104"/>
                                <w:sz w:val="16"/>
                                <w:szCs w:val="16"/>
                                <w:lang w:val="en-US"/>
                                <w14:textFill>
                                  <w14:solidFill>
                                    <w14:schemeClr w14:val="tx1"/>
                                  </w14:solidFill>
                                </w14:textFill>
                              </w:rPr>
                              <w:t xml:space="preserve"> BRIN</w:t>
                            </w:r>
                          </w:p>
                          <w:p w14:paraId="684DE2A7">
                            <w:pPr>
                              <w:widowControl w:val="0"/>
                              <w:autoSpaceDE w:val="0"/>
                              <w:autoSpaceDN w:val="0"/>
                              <w:adjustRightInd w:val="0"/>
                              <w:ind w:right="-28" w:firstLine="0"/>
                              <w:jc w:val="left"/>
                              <w:rPr>
                                <w:w w:val="104"/>
                                <w:sz w:val="16"/>
                                <w:szCs w:val="16"/>
                              </w:rPr>
                            </w:pPr>
                            <w:r>
                              <w:rPr>
                                <w:color w:val="FFFFFF"/>
                                <w:w w:val="104"/>
                                <w:sz w:val="16"/>
                                <w:szCs w:val="16"/>
                              </w:rPr>
                              <w:t>25-32</w:t>
                            </w:r>
                          </w:p>
                          <w:p w14:paraId="298E0D8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2pt;margin-top:629.95pt;height:75.35pt;width:229.6pt;mso-position-vertical-relative:margin;mso-wrap-distance-bottom:0pt;mso-wrap-distance-left:9pt;mso-wrap-distance-right:9pt;mso-wrap-distance-top:0pt;z-index:-251655168;mso-width-relative:page;mso-height-relative:page;" filled="f" stroked="f" coordsize="21600,21600" o:gfxdata="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OjtH9kAAAANAQAADwAAAAAAAAABACAA&#10;AAAiAAAAZHJzL2Rvd25yZXYueG1sUEsBAhQAFAAAAAgAh07iQFl2H/wMAgAAJAQAAA4AAAAAAAAA&#10;AQAgAAAAKAEAAGRycy9lMm9Eb2MueG1sUEsFBgAAAAAGAAYAWQEAAKYFAAAAAA==&#10;">
                <v:fill on="f" focussize="0,0"/>
                <v:stroke on="f"/>
                <v:imagedata o:title=""/>
                <o:lock v:ext="edit" aspectratio="f"/>
                <v:textbox>
                  <w:txbxContent>
                    <w:p w14:paraId="11122F2A">
                      <w:pPr>
                        <w:widowControl w:val="0"/>
                        <w:pBdr>
                          <w:top w:val="single" w:color="auto" w:sz="6" w:space="1"/>
                        </w:pBdr>
                        <w:autoSpaceDE w:val="0"/>
                        <w:autoSpaceDN w:val="0"/>
                        <w:adjustRightInd w:val="0"/>
                        <w:ind w:right="-28" w:firstLine="0"/>
                        <w:jc w:val="left"/>
                        <w:rPr>
                          <w:i/>
                          <w:color w:val="auto"/>
                          <w:w w:val="104"/>
                          <w:sz w:val="16"/>
                          <w:szCs w:val="16"/>
                        </w:rPr>
                      </w:pPr>
                      <w:bookmarkStart w:id="1" w:name="_Hlk91702109"/>
                      <w:bookmarkEnd w:id="1"/>
                      <w:r>
                        <w:rPr>
                          <w:i/>
                          <w:color w:val="auto"/>
                          <w:w w:val="104"/>
                          <w:sz w:val="16"/>
                          <w:szCs w:val="16"/>
                        </w:rPr>
                        <w:t xml:space="preserve">* </w:t>
                      </w:r>
                      <w:r>
                        <w:rPr>
                          <w:color w:val="auto"/>
                          <w:w w:val="104"/>
                          <w:sz w:val="16"/>
                          <w:szCs w:val="16"/>
                        </w:rPr>
                        <w:t>Corresponding Author</w:t>
                      </w:r>
                      <w:r>
                        <w:rPr>
                          <w:i/>
                          <w:color w:val="auto"/>
                          <w:w w:val="104"/>
                          <w:sz w:val="16"/>
                          <w:szCs w:val="16"/>
                        </w:rPr>
                        <w:t xml:space="preserve">. </w:t>
                      </w:r>
                    </w:p>
                    <w:p w14:paraId="219587A1">
                      <w:pPr>
                        <w:pStyle w:val="45"/>
                        <w:jc w:val="left"/>
                        <w:rPr>
                          <w:i w:val="0"/>
                          <w:color w:val="auto"/>
                          <w:szCs w:val="16"/>
                          <w:lang w:val="en-US"/>
                        </w:rPr>
                      </w:pPr>
                      <w:r>
                        <w:rPr>
                          <w:i w:val="0"/>
                          <w:color w:val="auto"/>
                          <w:w w:val="104"/>
                          <w:szCs w:val="16"/>
                        </w:rPr>
                        <w:t xml:space="preserve">Email: </w:t>
                      </w:r>
                      <w:r>
                        <w:rPr>
                          <w:rFonts w:hint="default"/>
                          <w:i w:val="0"/>
                          <w:color w:val="auto"/>
                          <w:w w:val="104"/>
                          <w:szCs w:val="16"/>
                        </w:rPr>
                        <w:t>hasballah@stei.itb.ac.id</w:t>
                      </w:r>
                      <w:r>
                        <w:rPr>
                          <w:i w:val="0"/>
                          <w:color w:val="auto"/>
                          <w:w w:val="104"/>
                          <w:szCs w:val="16"/>
                        </w:rPr>
                        <w:t xml:space="preserve">  </w:t>
                      </w:r>
                    </w:p>
                    <w:p w14:paraId="03FF5495">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Received:</w:t>
                      </w:r>
                      <w:r>
                        <w:rPr>
                          <w:rFonts w:hint="default"/>
                          <w:color w:val="000000" w:themeColor="text1"/>
                          <w:w w:val="104"/>
                          <w:sz w:val="16"/>
                          <w:szCs w:val="16"/>
                          <w:lang w:val="en-US"/>
                          <w14:textFill>
                            <w14:solidFill>
                              <w14:schemeClr w14:val="tx1"/>
                            </w14:solidFill>
                          </w14:textFill>
                        </w:rPr>
                        <w:t xml:space="preserve"> Agustus 14</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5</w:t>
                      </w:r>
                      <w:r>
                        <w:rPr>
                          <w:rFonts w:hint="default"/>
                          <w:color w:val="000000" w:themeColor="text1"/>
                          <w:w w:val="104"/>
                          <w:sz w:val="16"/>
                          <w:szCs w:val="16"/>
                          <w:lang w:val="en-US"/>
                          <w14:textFill>
                            <w14:solidFill>
                              <w14:schemeClr w14:val="tx1"/>
                            </w14:solidFill>
                          </w14:textFill>
                        </w:rPr>
                        <w:tab/>
                      </w:r>
                      <w:r>
                        <w:rPr>
                          <w:rFonts w:hint="default"/>
                          <w:color w:val="000000" w:themeColor="text1"/>
                          <w:w w:val="104"/>
                          <w:sz w:val="16"/>
                          <w:szCs w:val="16"/>
                          <w:lang w:val="en-US"/>
                          <w14:textFill>
                            <w14:solidFill>
                              <w14:schemeClr w14:val="tx1"/>
                            </w14:solidFill>
                          </w14:textFill>
                        </w:rPr>
                        <w:tab/>
                      </w:r>
                      <w:r>
                        <w:rPr>
                          <w:color w:val="000000" w:themeColor="text1"/>
                          <w:w w:val="104"/>
                          <w:sz w:val="16"/>
                          <w:szCs w:val="16"/>
                          <w14:textFill>
                            <w14:solidFill>
                              <w14:schemeClr w14:val="tx1"/>
                            </w14:solidFill>
                          </w14:textFill>
                        </w:rPr>
                        <w:t>;</w:t>
                      </w:r>
                      <w:r>
                        <w:rPr>
                          <w:color w:val="000000" w:themeColor="text1"/>
                          <w:w w:val="104"/>
                          <w:sz w:val="16"/>
                          <w:szCs w:val="16"/>
                          <w:lang w:val="en-US"/>
                          <w14:textFill>
                            <w14:solidFill>
                              <w14:schemeClr w14:val="tx1"/>
                            </w14:solidFill>
                          </w14:textFill>
                        </w:rPr>
                        <w:t xml:space="preserve"> </w:t>
                      </w:r>
                      <w:r>
                        <w:rPr>
                          <w:color w:val="000000" w:themeColor="text1"/>
                          <w:w w:val="104"/>
                          <w:sz w:val="16"/>
                          <w:szCs w:val="16"/>
                          <w14:textFill>
                            <w14:solidFill>
                              <w14:schemeClr w14:val="tx1"/>
                            </w14:solidFill>
                          </w14:textFill>
                        </w:rPr>
                        <w:t xml:space="preserve">Revised: </w:t>
                      </w:r>
                      <w:r>
                        <w:rPr>
                          <w:rFonts w:hint="default"/>
                          <w:color w:val="000000" w:themeColor="text1"/>
                          <w:w w:val="104"/>
                          <w:sz w:val="16"/>
                          <w:szCs w:val="16"/>
                          <w:lang w:val="en-US"/>
                          <w14:textFill>
                            <w14:solidFill>
                              <w14:schemeClr w14:val="tx1"/>
                            </w14:solidFill>
                          </w14:textFill>
                        </w:rPr>
                        <w:t>November 3</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5</w:t>
                      </w:r>
                    </w:p>
                    <w:p w14:paraId="77B083CB">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Accepted:</w:t>
                      </w:r>
                      <w:r>
                        <w:rPr>
                          <w:rFonts w:hint="default"/>
                          <w:color w:val="000000" w:themeColor="text1"/>
                          <w:w w:val="104"/>
                          <w:sz w:val="16"/>
                          <w:szCs w:val="16"/>
                          <w:lang w:val="en-US"/>
                          <w14:textFill>
                            <w14:solidFill>
                              <w14:schemeClr w14:val="tx1"/>
                            </w14:solidFill>
                          </w14:textFill>
                        </w:rPr>
                        <w:t xml:space="preserve"> December 9</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5</w:t>
                      </w:r>
                      <w:r>
                        <w:rPr>
                          <w:color w:val="000000" w:themeColor="text1"/>
                          <w:w w:val="104"/>
                          <w:sz w:val="16"/>
                          <w:szCs w:val="16"/>
                          <w14:textFill>
                            <w14:solidFill>
                              <w14:schemeClr w14:val="tx1"/>
                            </w14:solidFill>
                          </w14:textFill>
                        </w:rPr>
                        <w:tab/>
                      </w:r>
                      <w:r>
                        <w:rPr>
                          <w:rFonts w:hint="default"/>
                          <w:color w:val="000000" w:themeColor="text1"/>
                          <w:w w:val="104"/>
                          <w:sz w:val="16"/>
                          <w:szCs w:val="16"/>
                          <w:lang w:val="en-US"/>
                          <w14:textFill>
                            <w14:solidFill>
                              <w14:schemeClr w14:val="tx1"/>
                            </w14:solidFill>
                          </w14:textFill>
                        </w:rPr>
                        <w:tab/>
                      </w:r>
                      <w:r>
                        <w:rPr>
                          <w:color w:val="000000" w:themeColor="text1"/>
                          <w:w w:val="104"/>
                          <w:sz w:val="16"/>
                          <w:szCs w:val="16"/>
                          <w14:textFill>
                            <w14:solidFill>
                              <w14:schemeClr w14:val="tx1"/>
                            </w14:solidFill>
                          </w14:textFill>
                        </w:rPr>
                        <w:t xml:space="preserve">; Published: </w:t>
                      </w:r>
                      <w:r>
                        <w:rPr>
                          <w:rFonts w:hint="default"/>
                          <w:color w:val="000000" w:themeColor="text1"/>
                          <w:w w:val="104"/>
                          <w:sz w:val="16"/>
                          <w:szCs w:val="16"/>
                          <w:lang w:val="en-US"/>
                          <w14:textFill>
                            <w14:solidFill>
                              <w14:schemeClr w14:val="tx1"/>
                            </w14:solidFill>
                          </w14:textFill>
                        </w:rPr>
                        <w:t xml:space="preserve">December </w:t>
                      </w:r>
                      <w:r>
                        <w:rPr>
                          <w:color w:val="000000" w:themeColor="text1"/>
                          <w:w w:val="104"/>
                          <w:sz w:val="16"/>
                          <w:szCs w:val="16"/>
                          <w14:textFill>
                            <w14:solidFill>
                              <w14:schemeClr w14:val="tx1"/>
                            </w14:solidFill>
                          </w14:textFill>
                        </w:rPr>
                        <w:t>31, 202</w:t>
                      </w:r>
                      <w:r>
                        <w:rPr>
                          <w:rFonts w:hint="default"/>
                          <w:color w:val="000000" w:themeColor="text1"/>
                          <w:w w:val="104"/>
                          <w:sz w:val="16"/>
                          <w:szCs w:val="16"/>
                          <w:lang w:val="en-US"/>
                          <w14:textFill>
                            <w14:solidFill>
                              <w14:schemeClr w14:val="tx1"/>
                            </w14:solidFill>
                          </w14:textFill>
                        </w:rPr>
                        <w:t>5</w:t>
                      </w:r>
                    </w:p>
                    <w:p w14:paraId="105766DB">
                      <w:pPr>
                        <w:widowControl w:val="0"/>
                        <w:tabs>
                          <w:tab w:val="left" w:pos="1985"/>
                        </w:tabs>
                        <w:autoSpaceDE w:val="0"/>
                        <w:autoSpaceDN w:val="0"/>
                        <w:adjustRightInd w:val="0"/>
                        <w:ind w:right="-28" w:firstLine="0"/>
                        <w:rPr>
                          <w:rFonts w:eastAsia="Calibri"/>
                          <w:color w:val="000000" w:themeColor="text1"/>
                          <w:sz w:val="16"/>
                          <w:szCs w:val="16"/>
                          <w:lang w:val="en-US"/>
                          <w14:textFill>
                            <w14:solidFill>
                              <w14:schemeClr w14:val="tx1"/>
                            </w14:solidFill>
                          </w14:textFill>
                        </w:rPr>
                      </w:pPr>
                    </w:p>
                    <w:p w14:paraId="3F7C198F">
                      <w:pPr>
                        <w:widowControl w:val="0"/>
                        <w:tabs>
                          <w:tab w:val="left" w:pos="1985"/>
                        </w:tabs>
                        <w:autoSpaceDE w:val="0"/>
                        <w:autoSpaceDN w:val="0"/>
                        <w:adjustRightInd w:val="0"/>
                        <w:ind w:right="-28" w:firstLine="0"/>
                        <w:rPr>
                          <w:rFonts w:eastAsia="Calibri"/>
                          <w:color w:val="000000" w:themeColor="text1"/>
                          <w:sz w:val="16"/>
                          <w:szCs w:val="16"/>
                          <w14:textFill>
                            <w14:solidFill>
                              <w14:schemeClr w14:val="tx1"/>
                            </w14:solidFill>
                          </w14:textFill>
                        </w:rPr>
                      </w:pPr>
                      <w:r>
                        <w:rPr>
                          <w:rFonts w:eastAsia="Calibri"/>
                          <w:color w:val="000000" w:themeColor="text1"/>
                          <w:sz w:val="16"/>
                          <w:szCs w:val="16"/>
                          <w:lang w:val="en-US"/>
                          <w14:textFill>
                            <w14:solidFill>
                              <w14:schemeClr w14:val="tx1"/>
                            </w14:solidFill>
                          </w14:textFill>
                        </w:rPr>
                        <w:t>Open access under CC-BY-NC-SA</w:t>
                      </w:r>
                    </w:p>
                    <w:p w14:paraId="4F25ED5A">
                      <w:pPr>
                        <w:widowControl w:val="0"/>
                        <w:tabs>
                          <w:tab w:val="left" w:pos="1985"/>
                        </w:tabs>
                        <w:autoSpaceDE w:val="0"/>
                        <w:autoSpaceDN w:val="0"/>
                        <w:adjustRightInd w:val="0"/>
                        <w:ind w:right="-28" w:firstLine="0"/>
                        <w:rPr>
                          <w:color w:val="000000" w:themeColor="text1"/>
                          <w:w w:val="104"/>
                          <w:sz w:val="16"/>
                          <w:szCs w:val="16"/>
                          <w14:textFill>
                            <w14:solidFill>
                              <w14:schemeClr w14:val="tx1"/>
                            </w14:solidFill>
                          </w14:textFill>
                        </w:rPr>
                      </w:pPr>
                      <w:r>
                        <w:rPr>
                          <w:color w:val="000000" w:themeColor="text1"/>
                          <w:w w:val="104"/>
                          <w:sz w:val="16"/>
                          <w:szCs w:val="16"/>
                          <w14:textFill>
                            <w14:solidFill>
                              <w14:schemeClr w14:val="tx1"/>
                            </w14:solidFill>
                          </w14:textFill>
                        </w:rPr>
                        <w:sym w:font="Symbol" w:char="F0D3"/>
                      </w:r>
                      <w:r>
                        <w:rPr>
                          <w:color w:val="000000" w:themeColor="text1"/>
                          <w:w w:val="104"/>
                          <w:sz w:val="16"/>
                          <w:szCs w:val="16"/>
                          <w14:textFill>
                            <w14:solidFill>
                              <w14:schemeClr w14:val="tx1"/>
                            </w14:solidFill>
                          </w14:textFill>
                        </w:rPr>
                        <w:t xml:space="preserve"> 202</w:t>
                      </w:r>
                      <w:r>
                        <w:rPr>
                          <w:rFonts w:hint="default"/>
                          <w:color w:val="000000" w:themeColor="text1"/>
                          <w:w w:val="104"/>
                          <w:sz w:val="16"/>
                          <w:szCs w:val="16"/>
                          <w:lang w:val="en-US"/>
                          <w14:textFill>
                            <w14:solidFill>
                              <w14:schemeClr w14:val="tx1"/>
                            </w14:solidFill>
                          </w14:textFill>
                        </w:rPr>
                        <w:t>5</w:t>
                      </w:r>
                      <w:r>
                        <w:rPr>
                          <w:color w:val="000000" w:themeColor="text1"/>
                          <w:w w:val="104"/>
                          <w:sz w:val="16"/>
                          <w:szCs w:val="16"/>
                          <w:lang w:val="en-US"/>
                          <w14:textFill>
                            <w14:solidFill>
                              <w14:schemeClr w14:val="tx1"/>
                            </w14:solidFill>
                          </w14:textFill>
                        </w:rPr>
                        <w:t xml:space="preserve"> BRIN</w:t>
                      </w:r>
                    </w:p>
                    <w:p w14:paraId="684DE2A7">
                      <w:pPr>
                        <w:widowControl w:val="0"/>
                        <w:autoSpaceDE w:val="0"/>
                        <w:autoSpaceDN w:val="0"/>
                        <w:adjustRightInd w:val="0"/>
                        <w:ind w:right="-28" w:firstLine="0"/>
                        <w:jc w:val="left"/>
                        <w:rPr>
                          <w:w w:val="104"/>
                          <w:sz w:val="16"/>
                          <w:szCs w:val="16"/>
                        </w:rPr>
                      </w:pPr>
                      <w:r>
                        <w:rPr>
                          <w:color w:val="FFFFFF"/>
                          <w:w w:val="104"/>
                          <w:sz w:val="16"/>
                          <w:szCs w:val="16"/>
                        </w:rPr>
                        <w:t>25-32</w:t>
                      </w:r>
                    </w:p>
                    <w:p w14:paraId="298E0D89"/>
                  </w:txbxContent>
                </v:textbox>
                <w10:wrap type="square"/>
              </v:shape>
            </w:pict>
          </mc:Fallback>
        </mc:AlternateContent>
      </w:r>
      <w:r>
        <w:rPr>
          <w:lang w:val="en-US"/>
        </w:rPr>
        <w:t>The exponential increase in smartphone adoption has raised significant concerns among the public and the scientific community regarding the potential health impacts of electromagnetic field (EMF) exposure. The majority of public attention and regulatory standards, such as the Specific Absorption Rate (SAR), have concentrated on radio frequency (RF) emissions, originating from the device's communication antennas. These standards are designed to protect against established thermal effects, specifically the heating of biological tissue resulting from the absorption of RF energy. The scientific debate concerning long-term health effects remains ongoing. Some observational and animal studies have suggested a possible link between EMF exposure and various health conditions, including an increased incidence of tumors in laboratory animals after prolonged exposure</w:t>
      </w:r>
      <w:r>
        <w:rPr>
          <w:lang w:val="en-US"/>
        </w:rPr>
        <w:fldChar w:fldCharType="begin" w:fldLock="1"/>
      </w:r>
      <w:r>
        <w:rPr>
          <w:lang w:val="en-US"/>
        </w:rPr>
        <w:instrText xml:space="preserve">ADDIN CSL_CITATION {"citationItems":[{"id":"ITEM-1","itemData":{"DOI":"10.1016/j.envres.2018.01.037","ISSN":"10960953","PMID":"29530389","abstract":"Background: In 2011, IARC classified radiofrequency radiation (RFR) as possible human carcinogen (Group 2B). According to IARC, animals studies, as well as epidemiological ones, showed limited evidence of carcinogenicity. In 2016, the NTP published the first results of its long-term bioassays on near field RFR, reporting increased incidence of malignant glial tumors of the brain and heart Schwannoma in rats exposed to GSM – and CDMA – modulated cell phone RFR. The tumors observed in the NTP study are of the type similar to the ones observed in some epidemiological studies of cell phone users. Objectives: The Ramazzini Institute (RI) performed a life-span carcinogenic study on Sprague-Dawley rats to evaluate the carcinogenic effects of RFR in the situation of far field, reproducing the environmental exposure to RFR generated by 1.8 GHz GSM antenna of the radio base stations of mobile phone. This is the largest long-term study ever performed in rats on the health effects of RFR, including 2448 animals. In this article, we reported the final results regarding brain and heart tumors. Methods: Male and female Sprague-Dawley rats were exposed from prenatal life until natural death to a 1.8 GHz GSM far field of 0, 5, 25, 50 V/m with a whole-body exposure for 19 h/day. Results: A statistically significant increase in the incidence of heart Schwannomas was observed in treated male rats at the highest dose (50 V/m). Furthermore, an increase in the incidence of heart Schwann cells hyperplasia was observed in treated male and female rats at the highest dose (50 V/m), although this was not statistically significant. An increase in the incidence of malignant glial tumors was observed in treated female rats at the highest dose (50 V/m), although not statistically significant. Conclusions: The RI findings on far field exposure to RFR are consistent with and reinforce the results of the NTP study on near field exposure, as both reported an increase in the incidence of tumors of the brain and heart in RFR-exposed Sprague-Dawley rats. These tumors are of the same histotype of those observed in some epidemiological studies on cell phone users. These experimental studies provide sufficient evidence to call for the re-evaluation of IARC conclusions regarding the carcinogenic potential of RFR in humans.","author":[{"dropping-particle":"","family":"Falcioni","given":"L.","non-dropping-particle":"","parse-names":false,"suffix":""},{"dropping-particle":"","family":"Bua","given":"L.","non-dropping-particle":"","parse-names":false,"suffix":""},{"dropping-particle":"","family":"Tibaldi","given":"E.","non-dropping-particle":"","parse-names":false,"suffix":""},{"dropping-particle":"","family":"Lauriola","given":"M.","non-dropping-particle":"","parse-names":false,"suffix":""},{"dropping-particle":"","family":"Angelis","given":"L.","non-dropping-particle":"De","parse-names":false,"suffix":""},{"dropping-particle":"","family":"Gnudi","given":"F.","non-dropping-particle":"","parse-names":false,"suffix":""},{"dropping-particle":"","family":"Mandrioli","given":"D.","non-dropping-particle":"","parse-names":false,"suffix":""},{"dropping-particle":"","family":"Manservigi","given":"M.","non-dropping-particle":"","parse-names":false,"suffix":""},{"dropping-particle":"","family":"Manservisi","given":"F.","non-dropping-particle":"","parse-names":false,"suffix":""},{"dropping-particle":"","family":"Manzoli","given":"I.","non-dropping-particle":"","parse-names":false,"suffix":""},{"dropping-particle":"","family":"Menghetti","given":"I.","non-dropping-particle":"","parse-names":false,"suffix":""},{"dropping-particle":"","family":"Montella","given":"R.","non-dropping-particle":"","parse-names":false,"suffix":""},{"dropping-particle":"","family":"Panzacchi","given":"S.","non-dropping-particle":"","parse-names":false,"suffix":""},{"dropping-particle":"","family":"Sgargi","given":"D.","non-dropping-particle":"","parse-names":false,"suffix":""},{"dropping-particle":"","family":"Strollo","given":"V.","non-dropping-particle":"","parse-names":false,"suffix":""},{"dropping-particle":"","family":"Vornoli","given":"A.","non-dropping-particle":"","parse-names":false,"suffix":""},{"dropping-particle":"","family":"Belpoggi","given":"F.","non-dropping-particle":"","parse-names":false,"suffix":""}],"container-title":"Environmental Research","id":"ITEM-1","issue":"October 2017","issued":{"date-parts":[["2018"]]},"page":"496-503","publisher":"Elsevier Inc.","title":"Report of final results regarding brain and heart tumors in Sprague-Dawley rats exposed from prenatal life until natural death to mobile phone radiofrequency field representative of a 1.8 GHz GSM base station environmental emission","type":"article-journal","volume":"165"},"uris":["http://www.mendeley.com/documents/?uuid=c431b879-7fbb-4a26-8fef-9333c2cd6847"]}],"mendeley":{"formattedCitation":"[1]","plainTextFormattedCitation":"[1]","previouslyFormattedCitation":"[1]"},"properties":{"noteIndex":0},"schema":"https://github.com/citation-style-language/schema/raw/master/csl-citation.json"}</w:instrText>
      </w:r>
      <w:r>
        <w:rPr>
          <w:lang w:val="en-US"/>
        </w:rPr>
        <w:fldChar w:fldCharType="separate"/>
      </w:r>
      <w:r>
        <w:rPr>
          <w:lang w:val="en-US"/>
        </w:rPr>
        <w:t>[1]</w:t>
      </w:r>
      <w:r>
        <w:rPr>
          <w:lang w:val="en-US"/>
        </w:rPr>
        <w:fldChar w:fldCharType="end"/>
      </w:r>
      <w:r>
        <w:rPr>
          <w:lang w:val="en-US"/>
        </w:rPr>
        <w:t xml:space="preserve">. Conversely, large-scale prospective cohort studies, such as </w:t>
      </w:r>
      <w:commentRangeStart w:id="1"/>
      <w:r>
        <w:rPr>
          <w:lang w:val="en-US"/>
        </w:rPr>
        <w:t>COSMOS</w:t>
      </w:r>
      <w:commentRangeEnd w:id="1"/>
      <w:r>
        <w:rPr>
          <w:rStyle w:val="11"/>
        </w:rPr>
        <w:commentReference w:id="1"/>
      </w:r>
      <w:r>
        <w:rPr>
          <w:lang w:val="en-US"/>
        </w:rPr>
        <w:t xml:space="preserve"> (Cohort Study of Mobile Phone Use and Health), have not yet found a significant increase in brain tumor risk among heavy mobile phone users </w:t>
      </w:r>
      <w:r>
        <w:rPr>
          <w:lang w:val="en-US"/>
        </w:rPr>
        <w:fldChar w:fldCharType="begin" w:fldLock="1"/>
      </w:r>
      <w:r>
        <w:rPr>
          <w:lang w:val="en-US"/>
        </w:rPr>
        <w:instrText xml:space="preserve">ADDIN CSL_CITATION {"citationItems":[{"id":"ITEM-1","itemData":{"DOI":"10.1016/j.envint.2024.108552","ISSN":"18736750","PMID":"38458118","abstract":"Background: Each new generation of mobile phone technology has triggered discussions about potential carcinogenicity from exposure to radiofrequency electromagnetic fields (RF-EMF). Available evidence has been insufficient to conclude about long-term and heavy mobile phone use, limited by differential recall and selection bias, or crude exposure assessment. The Cohort Study on Mobile Phones and Health (COSMOS) was specifically designed to overcome these shortcomings. Methods: We recruited participants in Denmark, Finland, the Netherlands, Sweden, and the UK 2007–2012. The baseline questionnaire assessed lifetime history of mobile phone use. Participants were followed through population-based cancer registers to identify glioma, meningioma, and acoustic neuroma cases during follow-up. Non-differential exposure misclassification was reduced by adjusting estimates of mobile phone call-time through regression calibration methods based on self-reported data and objective operator-recorded information at baseline. Hazard ratios (HR) and 95% confidence intervals (CI) for glioma, meningioma, and acoustic neuroma in relation to lifetime history of mobile phone use were estimated with Cox regression models with attained age as the underlying time-scale, adjusted for country, sex, educational level, and marital status. Results: 264,574 participants accrued 1,836,479 person-years. During a median follow-up of 7.12 years, 149 glioma, 89 meningioma, and 29 incident cases of acoustic neuroma were diagnosed. The adjusted HR per 100 regression-calibrated cumulative hours of mobile phone call-time was 1.00 (95 % CI 0.98–1.02) for glioma, 1.01 (95 % CI 0.96–1.06) for meningioma, and 1.02 (95 % CI 0.99–1.06) for acoustic neuroma. For glioma, the HR for ≥ 1908 regression-calibrated cumulative hours (90th percentile cut-point) was 1.07 (95 % CI 0.62–1.86). Over 15 years of mobile phone use was not associated with an increased tumour risk; for glioma the HR was 0.97 (95 % CI 0.62–1.52). Conclusions: Our findings suggest that the cumulative amount of mobile phone use is not associated with the risk of developing glioma, meningioma, or acoustic neuroma.","author":[{"dropping-particle":"","family":"Feychting","given":"Maria","non-dropping-particle":"","parse-names":false,"suffix":""},{"dropping-particle":"","family":"Schüz","given":"Joachim","non-dropping-particle":"","parse-names":false,"suffix":""},{"dropping-particle":"","family":"Toledano","given":"Mireille B.","non-dropping-particle":"","parse-names":false,"suffix":""},{"dropping-particle":"","family":"Vermeulen","given":"Roel","non-dropping-particle":"","parse-names":false,"suffix":""},{"dropping-particle":"","family":"Auvinen","given":"Anssi","non-dropping-particle":"","parse-names":false,"suffix":""},{"dropping-particle":"","family":"Harbo Poulsen","given":"Aslak","non-dropping-particle":"","parse-names":false,"suffix":""},{"dropping-particle":"","family":"Deltour","given":"Isabelle","non-dropping-particle":"","parse-names":false,"suffix":""},{"dropping-particle":"","family":"Smith","given":"Rachel B.","non-dropping-particle":"","parse-names":false,"suffix":""},{"dropping-particle":"","family":"Heller","given":"Joel","non-dropping-particle":"","parse-names":false,"suffix":""},{"dropping-particle":"","family":"Kromhout","given":"Hans","non-dropping-particle":"","parse-names":false,"suffix":""},{"dropping-particle":"","family":"Huss","given":"Anke","non-dropping-particle":"","parse-names":false,"suffix":""},{"dropping-particle":"","family":"Johansen","given":"Christoffer","non-dropping-particle":"","parse-names":false,"suffix":""},{"dropping-particle":"","family":"Tettamanti","given":"Giorgio","non-dropping-particle":"","parse-names":false,"suffix":""},{"dropping-particle":"","family":"Elliott","given":"Paul","non-dropping-particle":"","parse-names":false,"suffix":""}],"container-title":"Environment International","id":"ITEM-1","issue":"January","issued":{"date-parts":[["2024"]]},"page":"108552","publisher":"Elsevier Ltd","title":"Mobile phone use and brain tumour risk – COSMOS, a prospective cohort study","type":"article-journal","volume":"185"},"uris":["http://www.mendeley.com/documents/?uuid=c62be56e-1d15-4c3e-82b1-a69495307b17"]}],"mendeley":{"formattedCitation":"[2]","plainTextFormattedCitation":"[2]","previouslyFormattedCitation":"[2]"},"properties":{"noteIndex":0},"schema":"https://github.com/citation-style-language/schema/raw/master/csl-citation.json"}</w:instrText>
      </w:r>
      <w:r>
        <w:rPr>
          <w:lang w:val="en-US"/>
        </w:rPr>
        <w:fldChar w:fldCharType="separate"/>
      </w:r>
      <w:r>
        <w:rPr>
          <w:lang w:val="en-US"/>
        </w:rPr>
        <w:t>[2]</w:t>
      </w:r>
      <w:r>
        <w:rPr>
          <w:lang w:val="en-US"/>
        </w:rPr>
        <w:fldChar w:fldCharType="end"/>
      </w:r>
      <w:r>
        <w:rPr>
          <w:lang w:val="en-US"/>
        </w:rPr>
        <w:t>. The complexity of this scientific evidence underscores the importance of continued research.</w:t>
      </w:r>
    </w:p>
    <w:p w14:paraId="7866D1A3">
      <w:pPr>
        <w:rPr>
          <w:lang w:val="en-US"/>
        </w:rPr>
      </w:pPr>
      <w:r>
        <w:rPr>
          <w:lang w:val="en-US"/>
        </w:rPr>
        <w:t xml:space="preserve">This study, however, shifts focus to a frequently neglected yet critical area: magnetic field emissions in the extremely low-frequency (ELF) spectrum. Unlike RF emission, which is intentionally radiated into the far field, ELF emission is an inevitable byproduct of the device's internal circuitry. The primary sources include components with high and fluctuating electrical currents, such as the Power Management Integrated Circuit (PMIC), battery systems, and display circuits </w:t>
      </w:r>
      <w:r>
        <w:rPr>
          <w:lang w:val="en-US"/>
        </w:rPr>
        <w:fldChar w:fldCharType="begin" w:fldLock="1"/>
      </w:r>
      <w:r>
        <w:rPr>
          <w:lang w:val="en-US"/>
        </w:rPr>
        <w:instrText xml:space="preserve">ADDIN CSL_CITATION {"citationItems":[{"id":"ITEM-1","itemData":{"DOI":"10.3389/fphy.2023.1094921","ISSN":"2296424X","abstract":"Cell phones expose significant parts of the human brain and head to extremely low frequency (ELF) magnetic fields (MF) classified by the IARC as a 2B carcinogen. ELF MF was measured on the front and back sides of 15 cell phones in standby, speaking, and listening modes for 2G and 3G standards in two frequency bands, LF1: 5 Hz–200 Hz and LF2: 120 Hz—10 kHz. The highest MF value was 70.03 µT (RMS) in LF1 (2G, listening mode, front side) and 12.67 µT (RMS) in LF2 (2G, speaking mode, front side). The 3G cell phones consistently emitted a lower ELF MF compared to the 2G ones. The exposure to ELF MF was also simulated at various locations (head, thorax, pelvis) using the CST Studio Suite. The simulations revealed 8.45 µT, 7.5 µT, and 6.09 µT in the middle of the head (midbrain), 3.89 µT, 3.98 µT, and 2.83 µT for the middle of the thorax (heart), and 2.03 µT, 1.96 µT, and 1.56 µT in the middle of the pelvis (scrotum) for 10 Hz, 50 Hz, and 200 Hz, respectively. These values are comparable to those reported to induce biological and health effects, including those related to carcinogenesis. The results can be used in future studies concerning the ELF exposure or the combined effects of electromagnetic fields of radiofrequency and ELF.","author":[{"dropping-particle":"","family":"Misek","given":"J.","non-dropping-particle":"","parse-names":false,"suffix":""},{"dropping-particle":"","family":"Jakus","given":"J.","non-dropping-particle":"","parse-names":false,"suffix":""},{"dropping-particle":"","family":"Hamza Sladicekova","given":"K.","non-dropping-particle":"","parse-names":false,"suffix":""},{"dropping-particle":"","family":"Zastko","given":"L.","non-dropping-particle":"","parse-names":false,"suffix":""},{"dropping-particle":"","family":"Veternik","given":"M.","non-dropping-particle":"","parse-names":false,"suffix":""},{"dropping-particle":"","family":"Jakusova","given":"V.","non-dropping-particle":"","parse-names":false,"suffix":""},{"dropping-particle":"","family":"Belyaev","given":"I.","non-dropping-particle":"","parse-names":false,"suffix":""}],"container-title":"Frontiers in Physics","id":"ITEM-1","issue":"January","issued":{"date-parts":[["2023"]]},"title":"Extremely low frequency magnetic fields emitted by cell phones","type":"article-journal","volume":"11"},"uris":["http://www.mendeley.com/documents/?uuid=ccc5c0bf-30da-4a29-b71a-b2fb3bd19076","http://www.mendeley.com/documents/?uuid=1de53843-484c-474c-a096-6f9618f4e3ca"]},{"id":"ITEM-2","itemData":{"DOI":"10.3390/technologies11050113","ISSN":"22277080","abstract":"To gain a deeper understanding of the hotly contested topic of the non-thermal biological effects of microwaves, new metrics and methodologies need to be adopted. The direction proposed in the current work, which includes peak exposure analysis and not just time-averaged analysis, aligns well with this objective. The proposed methodology is not intended to facilitate a comparison of the general characteristics between 4G and 5G mobile communication signals. Instead, its purpose is to provide a means for analyzing specific real-life exposure conditions that may vary based on multiple parameters. A differentiation based on amplitude-time features of the 4G versus 5G signals is followed, with the aim of describing the peculiarities of a user’s exposure when he runs four types of mobile applications on his mobile phone on either of the two mobile networks. To achieve the goals, we used signal and spectrum analyzers with adequate real-time analysis bandwidths and statistical descriptions provided by the amplitude probability density (APD) function, the complementary cumulative distribution function (CCDF), channel power measurements, and recorded spectrogram databases. We compared the exposimetric descriptors of emissions specific to file download, file upload, Internet video streaming, and video call usage in both 4G and 5G networks based on the specific modulation and coding schemes. The highest and lowest electric field strengths measured in the air at a 10 cm distance from the phone during emissions are indicated. The power distribution functions with the highest prevalence are highlighted and commented on. Afterwards, the capability of a convolutional neural network that belongs to the family of single-shot detectors is proven to recognize and classify the emissions with a very high degree of accuracy, enabling traceability of the dynamics of human exposure.","author":[{"dropping-particle":"","family":"Miclaus","given":"Simona","non-dropping-particle":"","parse-names":false,"suffix":""},{"dropping-particle":"","family":"Deaconescu","given":"Delia B.","non-dropping-particle":"","parse-names":false,"suffix":""},{"dropping-particle":"","family":"Vatamanu","given":"David","non-dropping-particle":"","parse-names":false,"suffix":""},{"dropping-particle":"","family":"Buda","given":"Andreea M.","non-dropping-particle":"","parse-names":false,"suffix":""}],"container-title":"Technologies","id":"ITEM-2","issue":"5","issued":{"date-parts":[["2023"]]},"title":"An Exposimetric Electromagnetic Comparison of Mobile Phone Emissions: 5G versus 4G Signals Analyses by Means of Statistics and Convolutional Neural Networks Classification","type":"article-journal","volume":"11"},"uris":["http://www.mendeley.com/documents/?uuid=b9ec74ca-80c3-41a0-8690-a67708152986"]}],"mendeley":{"formattedCitation":"[3], [4]","plainTextFormattedCitation":"[3], [4]","previouslyFormattedCitation":"[3], [4]"},"properties":{"noteIndex":0},"schema":"https://github.com/citation-style-language/schema/raw/master/csl-citation.json"}</w:instrText>
      </w:r>
      <w:r>
        <w:rPr>
          <w:lang w:val="en-US"/>
        </w:rPr>
        <w:fldChar w:fldCharType="separate"/>
      </w:r>
      <w:r>
        <w:rPr>
          <w:lang w:val="en-US"/>
        </w:rPr>
        <w:t>[3], [4]</w:t>
      </w:r>
      <w:r>
        <w:rPr>
          <w:lang w:val="en-US"/>
        </w:rPr>
        <w:fldChar w:fldCharType="end"/>
      </w:r>
      <w:r>
        <w:rPr>
          <w:lang w:val="en-US"/>
        </w:rPr>
        <w:t>. This emission is reactive and dominates the near-field region—the area of direct contact with the user's body—where its intensity can be substantial.</w:t>
      </w:r>
    </w:p>
    <w:p w14:paraId="3251B380">
      <w:pPr>
        <w:rPr>
          <w:lang w:val="en-US"/>
        </w:rPr>
      </w:pPr>
      <w:r>
        <w:rPr>
          <w:lang w:val="en-US"/>
        </w:rPr>
        <w:t>The p</w:t>
      </w:r>
      <w:r>
        <w:t xml:space="preserve">revious </w:t>
      </w:r>
      <w:commentRangeStart w:id="2"/>
      <w:r>
        <w:t>stud</w:t>
      </w:r>
      <w:r>
        <w:rPr>
          <w:lang w:val="en-US"/>
        </w:rPr>
        <w:t>y</w:t>
      </w:r>
      <w:r>
        <w:t xml:space="preserve"> </w:t>
      </w:r>
      <w:r>
        <w:rPr>
          <w:lang w:val="en-US"/>
        </w:rPr>
        <w:t>has</w:t>
      </w:r>
      <w:r>
        <w:t xml:space="preserve"> </w:t>
      </w:r>
      <w:commentRangeEnd w:id="2"/>
      <w:r>
        <w:rPr>
          <w:rStyle w:val="11"/>
        </w:rPr>
        <w:commentReference w:id="2"/>
      </w:r>
      <w:r>
        <w:t xml:space="preserve">confirmed the existence of ELF fields from phone hardware </w:t>
      </w:r>
      <w:r>
        <w:fldChar w:fldCharType="begin" w:fldLock="1"/>
      </w:r>
      <w:r>
        <w:instrText xml:space="preserve">ADDIN CSL_CITATION {"citationItems":[{"id":"ITEM-1","itemData":{"DOI":"10.3389/fphy.2023.1094921","ISSN":"2296424X","abstract":"Cell phones expose significant parts of the human brain and head to extremely low frequency (ELF) magnetic fields (MF) classified by the IARC as a 2B carcinogen. ELF MF was measured on the front and back sides of 15 cell phones in standby, speaking, and listening modes for 2G and 3G standards in two frequency bands, LF1: 5 Hz–200 Hz and LF2: 120 Hz—10 kHz. The highest MF value was 70.03 µT (RMS) in LF1 (2G, listening mode, front side) and 12.67 µT (RMS) in LF2 (2G, speaking mode, front side). The 3G cell phones consistently emitted a lower ELF MF compared to the 2G ones. The exposure to ELF MF was also simulated at various locations (head, thorax, pelvis) using the CST Studio Suite. The simulations revealed 8.45 µT, 7.5 µT, and 6.09 µT in the middle of the head (midbrain), 3.89 µT, 3.98 µT, and 2.83 µT for the middle of the thorax (heart), and 2.03 µT, 1.96 µT, and 1.56 µT in the middle of the pelvis (scrotum) for 10 Hz, 50 Hz, and 200 Hz, respectively. These values are comparable to those reported to induce biological and health effects, including those related to carcinogenesis. The results can be used in future studies concerning the ELF exposure or the combined effects of electromagnetic fields of radiofrequency and ELF.","author":[{"dropping-particle":"","family":"Misek","given":"J.","non-dropping-particle":"","parse-names":false,"suffix":""},{"dropping-particle":"","family":"Jakus","given":"J.","non-dropping-particle":"","parse-names":false,"suffix":""},{"dropping-particle":"","family":"Hamza Sladicekova","given":"K.","non-dropping-particle":"","parse-names":false,"suffix":""},{"dropping-particle":"","family":"Zastko","given":"L.","non-dropping-particle":"","parse-names":false,"suffix":""},{"dropping-particle":"","family":"Veternik","given":"M.","non-dropping-particle":"","parse-names":false,"suffix":""},{"dropping-particle":"","family":"Jakusova","given":"V.","non-dropping-particle":"","parse-names":false,"suffix":""},{"dropping-particle":"","family":"Belyaev","given":"I.","non-dropping-particle":"","parse-names":false,"suffix":""}],"container-title":"Frontiers in Physics","id":"ITEM-1","issue":"January","issued":{"date-parts":[["2023"]]},"title":"Extremely low frequency magnetic fields emitted by cell phones","type":"article-journal","volume":"11"},"uris":["http://www.mendeley.com/documents/?uuid=ccc5c0bf-30da-4a29-b71a-b2fb3bd19076"]}],"mendeley":{"formattedCitation":"[3]","plainTextFormattedCitation":"[3]","previouslyFormattedCitation":"[3]"},"properties":{"noteIndex":0},"schema":"https://github.com/citation-style-language/schema/raw/master/csl-citation.json"}</w:instrText>
      </w:r>
      <w:r>
        <w:fldChar w:fldCharType="separate"/>
      </w:r>
      <w:r>
        <w:t>[3]</w:t>
      </w:r>
      <w:r>
        <w:fldChar w:fldCharType="end"/>
      </w:r>
      <w:r>
        <w:t xml:space="preserve">. </w:t>
      </w:r>
      <w:r>
        <w:rPr>
          <w:lang w:val="en-US"/>
        </w:rPr>
        <w:t xml:space="preserve">However, its findings remained largely descriptive and did not investigate how specific internal hardware architectures or advancements in semiconductor process nodes influence emission intensities. </w:t>
      </w:r>
      <w:commentRangeStart w:id="3"/>
      <w:r>
        <w:rPr>
          <w:lang w:val="en-US"/>
        </w:rPr>
        <w:t xml:space="preserve"> Conversely</w:t>
      </w:r>
      <w:r>
        <w:t>, this study advances</w:t>
      </w:r>
      <w:commentRangeEnd w:id="3"/>
      <w:r>
        <w:rPr>
          <w:rStyle w:val="11"/>
        </w:rPr>
        <w:commentReference w:id="3"/>
      </w:r>
      <w:r>
        <w:t xml:space="preserve"> the field by directly comparing devices from different market segments and linking the observed emission differences to the quality of engineering design and Electromagnetic Compatibility (EMC) principles—representing a unique contribution of this work.</w:t>
      </w:r>
    </w:p>
    <w:p w14:paraId="5C7AEE69">
      <w:pPr>
        <w:rPr>
          <w:lang w:val="en-US"/>
        </w:rPr>
      </w:pPr>
      <w:r>
        <w:t xml:space="preserve">When non-ionizing electromagnetic waves, such as RF and ELF, penetrate biological tissue, their primary interaction is the induction of electric currents. A time-varying electric field (E) causes dielectric polarization and current flow, while a time-varying magnetic field (B) induces eddy currents according to Faraday's Law. For ELF fields, the dominant mechanism is current induction, which can stimulate nerve and muscle tissue if the intensity is sufficiently high </w:t>
      </w:r>
      <w:r>
        <w:rPr>
          <w:lang w:val="en-US"/>
        </w:rPr>
        <w:fldChar w:fldCharType="begin" w:fldLock="1"/>
      </w:r>
      <w:r>
        <w:rPr>
          <w:lang w:val="en-US"/>
        </w:rPr>
        <w:instrText xml:space="preserve">ADDIN CSL_CITATION {"citationItems":[{"id":"ITEM-1","itemData":{"DOI":"10.1097/HP.0000000000001210","ISBN":"0000000000","ISSN":"15385159","PMID":"32167495","abstract":"Radiofrequency electromagnetic fields (EMFs) are used to enable a number of modern devices, including mobile telecommunications infrastructure and phones, Wi-Fi, and Bluetooth. As radiofrequency EMFs at sufficiently high power levels can adversely affect health, ICNIRP published Guidelines in 1998 for human exposure to time-varying EMFs up to 300 GHz, which included the radiofrequency EMF spectrum. Since that time, there has been a considerable body of science further addressing the relation between radiofrequency EMFs and adverse health outcomes, as well as significant developments in the technologies that use radiofrequency EMFs. Accordingly, ICNIRP has updated the radiofrequency EMF part of the 1998 Guidelines. This document presents these revised Guidelines, which provide protection for humans from exposure to EMFs from 100 kHz to 300 GHz.","author":[{"dropping-particle":"","family":"Ziegelberger","given":"Gunde","non-dropping-particle":"","parse-names":false,"suffix":""},{"dropping-particle":"","family":"Croft","given":"Rodney","non-dropping-particle":"","parse-names":false,"suffix":""},{"dropping-particle":"","family":"Feychting","given":"Maria","non-dropping-particle":"","parse-names":false,"suffix":""},{"dropping-particle":"","family":"Green","given":"Adèle C.","non-dropping-particle":"","parse-names":false,"suffix":""},{"dropping-particle":"","family":"Hirata","given":"Akimasa","non-dropping-particle":"","parse-names":false,"suffix":""},{"dropping-particle":"","family":"d'Inzeo","given":"Guglielmo","non-dropping-particle":"","parse-names":false,"suffix":""},{"dropping-particle":"","family":"Jokela","given":"Kari","non-dropping-particle":"","parse-names":false,"suffix":""},{"dropping-particle":"","family":"Loughran","given":"Sarah","non-dropping-particle":"","parse-names":false,"suffix":""},{"dropping-particle":"","family":"Marino","given":"Carmela","non-dropping-particle":"","parse-names":false,"suffix":""},{"dropping-particle":"","family":"Miller","given":"Sharon","non-dropping-particle":"","parse-names":false,"suffix":""},{"dropping-particle":"","family":"Oftedal","given":"Gunnhild","non-dropping-particle":"","parse-names":false,"suffix":""},{"dropping-particle":"","family":"Okuno","given":"Tsutomu","non-dropping-particle":"","parse-names":false,"suffix":""},{"dropping-particle":"","family":"Rongen","given":"Eric","non-dropping-particle":"van","parse-names":false,"suffix":""},{"dropping-particle":"","family":"Röösli","given":"Martin","non-dropping-particle":"","parse-names":false,"suffix":""},{"dropping-particle":"","family":"Sienkiewicz","given":"Zenon","non-dropping-particle":"","parse-names":false,"suffix":""},{"dropping-particle":"","family":"Tattersall","given":"John","non-dropping-particle":"","parse-names":false,"suffix":""},{"dropping-particle":"","family":"Watanabe","given":"Soichi","non-dropping-particle":"","parse-names":false,"suffix":""}],"container-title":"Health Physics","id":"ITEM-1","issue":"5","issued":{"date-parts":[["2020"]]},"number-of-pages":"483-524","title":"Guidelines for limiting exposure to electromagnetic fields (100 kHz to 300 GHz)","type":"book","volume":"118"},"uris":["http://www.mendeley.com/documents/?uuid=a25c1e8d-a68d-4d83-aac2-e987c88b8cac"]}],"mendeley":{"formattedCitation":"[5]","plainTextFormattedCitation":"[5]","previouslyFormattedCitation":"[5]"},"properties":{"noteIndex":0},"schema":"https://github.com/citation-style-language/schema/raw/master/csl-citation.json"}</w:instrText>
      </w:r>
      <w:r>
        <w:rPr>
          <w:lang w:val="en-US"/>
        </w:rPr>
        <w:fldChar w:fldCharType="separate"/>
      </w:r>
      <w:r>
        <w:rPr>
          <w:lang w:val="en-US"/>
        </w:rPr>
        <w:t>[5]</w:t>
      </w:r>
      <w:r>
        <w:rPr>
          <w:lang w:val="en-US"/>
        </w:rPr>
        <w:fldChar w:fldCharType="end"/>
      </w:r>
      <w:r>
        <w:rPr>
          <w:lang w:val="en-US"/>
        </w:rPr>
        <w:t xml:space="preserve">. </w:t>
      </w:r>
      <w:r>
        <w:t>The ELF magnetic field emissions from internal circuits, particularly the power delivery network (PDN), are fundamentally generated by current loops. According to the Biot-Savart law, the strength of the resulting magnetic field is directly proportional to the current's magnitude and the area of the loop. Consequently, effective EMC design practices aim to minimize these current loop areas to reduce unwanted electromagnetic interference (EMI)</w:t>
      </w:r>
      <w:r>
        <w:rPr>
          <w:lang w:val="en-US"/>
        </w:rPr>
        <w:t xml:space="preserve"> </w:t>
      </w:r>
      <w:r>
        <w:rPr>
          <w:lang w:val="en-US"/>
        </w:rPr>
        <w:fldChar w:fldCharType="begin" w:fldLock="1"/>
      </w:r>
      <w:r>
        <w:rPr>
          <w:lang w:val="en-US"/>
        </w:rPr>
        <w:instrText xml:space="preserve">ADDIN CSL_CITATION {"citationItems":[{"id":"ITEM-1","itemData":{"DOI":"10.1016/j.envint.2024.108552","ISSN":"18736750","PMID":"38458118","abstract":"Background: Each new generation of mobile phone technology has triggered discussions about potential carcinogenicity from exposure to radiofrequency electromagnetic fields (RF-EMF). Available evidence has been insufficient to conclude about long-term and heavy mobile phone use, limited by differential recall and selection bias, or crude exposure assessment. The Cohort Study on Mobile Phones and Health (COSMOS) was specifically designed to overcome these shortcomings. Methods: We recruited participants in Denmark, Finland, the Netherlands, Sweden, and the UK 2007–2012. The baseline questionnaire assessed lifetime history of mobile phone use. Participants were followed through population-based cancer registers to identify glioma, meningioma, and acoustic neuroma cases during follow-up. Non-differential exposure misclassification was reduced by adjusting estimates of mobile phone call-time through regression calibration methods based on self-reported data and objective operator-recorded information at baseline. Hazard ratios (HR) and 95% confidence intervals (CI) for glioma, meningioma, and acoustic neuroma in relation to lifetime history of mobile phone use were estimated with Cox regression models with attained age as the underlying time-scale, adjusted for country, sex, educational level, and marital status. Results: 264,574 participants accrued 1,836,479 person-years. During a median follow-up of 7.12 years, 149 glioma, 89 meningioma, and 29 incident cases of acoustic neuroma were diagnosed. The adjusted HR per 100 regression-calibrated cumulative hours of mobile phone call-time was 1.00 (95 % CI 0.98–1.02) for glioma, 1.01 (95 % CI 0.96–1.06) for meningioma, and 1.02 (95 % CI 0.99–1.06) for acoustic neuroma. For glioma, the HR for ≥ 1908 regression-calibrated cumulative hours (90th percentile cut-point) was 1.07 (95 % CI 0.62–1.86). Over 15 years of mobile phone use was not associated with an increased tumour risk; for glioma the HR was 0.97 (95 % CI 0.62–1.52). Conclusions: Our findings suggest that the cumulative amount of mobile phone use is not associated with the risk of developing glioma, meningioma, or acoustic neuroma.","author":[{"dropping-particle":"","family":"Feychting","given":"Maria","non-dropping-particle":"","parse-names":false,"suffix":""},{"dropping-particle":"","family":"Schüz","given":"Joachim","non-dropping-particle":"","parse-names":false,"suffix":""},{"dropping-particle":"","family":"Toledano","given":"Mireille B.","non-dropping-particle":"","parse-names":false,"suffix":""},{"dropping-particle":"","family":"Vermeulen","given":"Roel","non-dropping-particle":"","parse-names":false,"suffix":""},{"dropping-particle":"","family":"Auvinen","given":"Anssi","non-dropping-particle":"","parse-names":false,"suffix":""},{"dropping-particle":"","family":"Harbo Poulsen","given":"Aslak","non-dropping-particle":"","parse-names":false,"suffix":""},{"dropping-particle":"","family":"Deltour","given":"Isabelle","non-dropping-particle":"","parse-names":false,"suffix":""},{"dropping-particle":"","family":"Smith","given":"Rachel B.","non-dropping-particle":"","parse-names":false,"suffix":""},{"dropping-particle":"","family":"Heller","given":"Joel","non-dropping-particle":"","parse-names":false,"suffix":""},{"dropping-particle":"","family":"Kromhout","given":"Hans","non-dropping-particle":"","parse-names":false,"suffix":""},{"dropping-particle":"","family":"Huss","given":"Anke","non-dropping-particle":"","parse-names":false,"suffix":""},{"dropping-particle":"","family":"Johansen","given":"Christoffer","non-dropping-particle":"","parse-names":false,"suffix":""},{"dropping-particle":"","family":"Tettamanti","given":"Giorgio","non-dropping-particle":"","parse-names":false,"suffix":""},{"dropping-particle":"","family":"Elliott","given":"Paul","non-dropping-particle":"","parse-names":false,"suffix":""}],"container-title":"Environment International","id":"ITEM-1","issue":"January","issued":{"date-parts":[["2024"]]},"page":"108552","publisher":"Elsevier Ltd","title":"Mobile phone use and brain tumour risk – COSMOS, a prospective cohort study","type":"article-journal","volume":"185"},"uris":["http://www.mendeley.com/documents/?uuid=c62be56e-1d15-4c3e-82b1-a69495307b17"]},{"id":"ITEM-2","itemData":{"DOI":"10.1016/j.chphma.2022.10.002","ISSN":"20970323","abstract":"The electromagnetic wave absorption capabilities of an absorber depend on its dielectric and magnetic components, which determine its interfacial polarization, conductivity loss, magnetic loss, and other such mechanisms. In this study, a comprehensive review of the electromagnetic wave and material interaction was conducted. Moreover, for a better understanding of the trends and evolutionary developments in the study of the electromagnetic wave absorber, 23300 documents dated between 1990 and 2020 were examined, which were obtained from Scopus using the keywords of “electromagnetic wave absorption” and “microwave absorption”. The data search in Scopus was conducted using the related keywords in the search bar for titles and abstracts. These results demonstrate that the majority of research regarding electromagnetic wave absorbers was conducted in China, which was followed by the United States. The number of published documents regarding the electromagnetic wave absorption field significantly increased between 1990 and 2020; these documents were mostly published as journal articles. With respect to the journal activity, the most productive journal was the “Journal of Alloys and Compounds”, with a total of 592 articles. In addition, graphene and titanium dioxide were determined to be the materials that were most studied in the field of electromagnetic wave absorption.","author":[{"dropping-particle":"","family":"Akinay","given":"Yuksel","non-dropping-particle":"","parse-names":false,"suffix":""},{"dropping-particle":"","family":"Gunes","given":"Umit","non-dropping-particle":"","parse-names":false,"suffix":""},{"dropping-particle":"","family":"Çolak","given":"Bektaş","non-dropping-particle":"","parse-names":false,"suffix":""},{"dropping-particle":"","family":"Cetin","given":"Tayfun","non-dropping-particle":"","parse-names":false,"suffix":""}],"container-title":"ChemPhysMater","id":"ITEM-2","issue":"3","issued":{"date-parts":[["2023"]]},"page":"197-206","title":"Recent progress of electromagnetic wave absorbers: A systematic review and bibliometric approach","type":"article-journal","volume":"2"},"uris":["http://www.mendeley.com/documents/?uuid=7f65aa71-dbf9-4970-a56d-d787ea3a831d"]}],"mendeley":{"formattedCitation":"[2], [6]","plainTextFormattedCitation":"[2], [6]","previouslyFormattedCitation":"[2], [6]"},"properties":{"noteIndex":0},"schema":"https://github.com/citation-style-language/schema/raw/master/csl-citation.json"}</w:instrText>
      </w:r>
      <w:r>
        <w:rPr>
          <w:lang w:val="en-US"/>
        </w:rPr>
        <w:fldChar w:fldCharType="separate"/>
      </w:r>
      <w:r>
        <w:rPr>
          <w:lang w:val="en-US"/>
        </w:rPr>
        <w:t>[2], [6]</w:t>
      </w:r>
      <w:r>
        <w:rPr>
          <w:lang w:val="en-US"/>
        </w:rPr>
        <w:fldChar w:fldCharType="end"/>
      </w:r>
      <w:r>
        <w:rPr>
          <w:lang w:val="en-US"/>
        </w:rPr>
        <w:t xml:space="preserve">. </w:t>
      </w:r>
      <w:r>
        <w:t>Modern Printed Circuit Board (PCB) designs in premium devices often utilize multi-layered architectures with adjacent power and ground planes. This compact and integrated layout inherently reduces current loop areas, physically resulting in lower ELF near-field emissions</w:t>
      </w:r>
      <w:r>
        <w:rPr>
          <w:lang w:val="en-US"/>
        </w:rPr>
        <w:t xml:space="preserve">. In contrast, mid-range devices may employ simpler PCB designs with less optimized component layouts. The choices of device's chassis material further play a role; a conductive metal frame can provide additional passive shielding via the induction of eddy currents, a mechanism absent in non-conductive plastic frames </w:t>
      </w:r>
      <w:r>
        <w:rPr>
          <w:lang w:val="en-US"/>
        </w:rPr>
        <w:fldChar w:fldCharType="begin" w:fldLock="1"/>
      </w:r>
      <w:r>
        <w:rPr>
          <w:lang w:val="en-US"/>
        </w:rPr>
        <w:instrText xml:space="preserve">ADDIN CSL_CITATION {"citationItems":[{"id":"ITEM-1","itemData":{"DOI":"10.1002/mrm.27005","ISSN":"15222594","PMID":"29159985","abstract":"Purpose: To explore the use of polyvinylpyrrolidone (PVP) for simulated materials with tissue-equivalent dielectric properties. Methods: PVP and salt were used to control, respectively, relative permittivity and electrical conductivity in a collection of 63 samples with a range of solute concentrations. Their dielectric properties were measured with a commercial probe and fitted to a 3D polynomial in order to establish an empirical recipe. The material's thermal properties and MR spectra were measured. Results: The empirical polynomial recipe (available at https://www.amri.ninds.nih.gov/cgi-bin/phantomrecipe) provides the PVP and salt concentrations required for dielectric materials with permittivity and electrical conductivity values between approximately 45 and 78, and 0.1 to 2 siemens per meter, respectively, from 50 MHz to 4.5 GHz. The second- (solute concentrations) and seventh- (frequency) order polynomial recipe provided less than 2.5% relative error between the measured and target properties. PVP side peaks in the spectra were minor and unaffected by temperature changes. Conclusion: PVP-based phantoms are easy to prepare and nontoxic, and their semitransparency makes air bubbles easy to identify. The polymer can be used to create simulated material with a range of dielectric properties, negligible spectral side peaks, and long T2 relaxation time, which are favorable in many MR applications. Magn Reson Med 80:413–419, 2018. © 2017 International Society for Magnetic Resonance in Medicine.","author":[{"dropping-particle":"","family":"Ianniello","given":"Carlotta","non-dropping-particle":"","parse-names":false,"suffix":""},{"dropping-particle":"","family":"Zwart","given":"Jacco A.","non-dropping-particle":"de","parse-names":false,"suffix":""},{"dropping-particle":"","family":"Duan","given":"Qi","non-dropping-particle":"","parse-names":false,"suffix":""},{"dropping-particle":"","family":"Deniz","given":"Cem M.","non-dropping-particle":"","parse-names":false,"suffix":""},{"dropping-particle":"","family":"Alon","given":"Leeor","non-dropping-particle":"","parse-names":false,"suffix":""},{"dropping-particle":"","family":"Lee","given":"Jae Seung","non-dropping-particle":"","parse-names":false,"suffix":""},{"dropping-particle":"","family":"Lattanzi","given":"Riccardo","non-dropping-particle":"","parse-names":false,"suffix":""},{"dropping-particle":"","family":"Brown","given":"Ryan","non-dropping-particle":"","parse-names":false,"suffix":""}],"container-title":"Magnetic Resonance in Medicine","id":"ITEM-1","issue":"1","issued":{"date-parts":[["2018"]]},"page":"413-419","title":"Synthesized tissue-equivalent dielectric phantoms using salt and polyvinylpyrrolidone solutions","type":"article-journal","volume":"80"},"uris":["http://www.mendeley.com/documents/?uuid=fafd089d-ba5f-4e36-b3bd-9de29718dd63"]}],"mendeley":{"formattedCitation":"[7]","plainTextFormattedCitation":"[7]","previouslyFormattedCitation":"[8]"},"properties":{"noteIndex":0},"schema":"https://github.com/citation-style-language/schema/raw/master/csl-citation.json"}</w:instrText>
      </w:r>
      <w:r>
        <w:rPr>
          <w:lang w:val="en-US"/>
        </w:rPr>
        <w:fldChar w:fldCharType="separate"/>
      </w:r>
      <w:r>
        <w:rPr>
          <w:lang w:val="en-US"/>
        </w:rPr>
        <w:t>[7]</w:t>
      </w:r>
      <w:r>
        <w:rPr>
          <w:lang w:val="en-US"/>
        </w:rPr>
        <w:fldChar w:fldCharType="end"/>
      </w:r>
      <w:r>
        <w:rPr>
          <w:lang w:val="en-US"/>
        </w:rPr>
        <w:t>.</w:t>
      </w:r>
    </w:p>
    <w:p w14:paraId="7319205C">
      <w:pPr>
        <w:rPr>
          <w:lang w:val="en-US"/>
        </w:rPr>
      </w:pPr>
      <w:r>
        <w:t xml:space="preserve">Safety standards for EMF exposure are frequency-dependent due to differing interaction mechanisms. For the ELF spectrum, the relevant standard is the </w:t>
      </w:r>
      <w:commentRangeStart w:id="4"/>
      <w:r>
        <w:t>ICNIRP</w:t>
      </w:r>
      <w:commentRangeEnd w:id="4"/>
      <w:r>
        <w:rPr>
          <w:rStyle w:val="11"/>
        </w:rPr>
        <w:commentReference w:id="4"/>
      </w:r>
      <w:r>
        <w:rPr>
          <w:lang w:val="en-US"/>
        </w:rPr>
        <w:t xml:space="preserve"> (International Commission on Non-Ionizing Radiation Protection)</w:t>
      </w:r>
      <w:r>
        <w:t xml:space="preserve"> guideline for low-frequency fields. The ICNIRP (2010) guidelines establish a reference level for public exposure to magnetic fields from power-frequency sources (50/60 Hz) at 200 µT, or 0.2 mT</w:t>
      </w:r>
      <w:r>
        <w:rPr>
          <w:lang w:val="en-US"/>
        </w:rPr>
        <w:t xml:space="preserve"> </w:t>
      </w:r>
      <w:r>
        <w:rPr>
          <w:lang w:val="en-US"/>
        </w:rPr>
        <w:fldChar w:fldCharType="begin" w:fldLock="1"/>
      </w:r>
      <w:r>
        <w:rPr>
          <w:lang w:val="en-US"/>
        </w:rPr>
        <w:instrText xml:space="preserve">ADDIN CSL_CITATION {"citationItems":[{"id":"ITEM-1","itemData":{"DOI":"10.1097/HP.0000000000001210","ISBN":"0000000000","ISSN":"15385159","PMID":"32167495","abstract":"Radiofrequency electromagnetic fields (EMFs) are used to enable a number of modern devices, including mobile telecommunications infrastructure and phones, Wi-Fi, and Bluetooth. As radiofrequency EMFs at sufficiently high power levels can adversely affect health, ICNIRP published Guidelines in 1998 for human exposure to time-varying EMFs up to 300 GHz, which included the radiofrequency EMF spectrum. Since that time, there has been a considerable body of science further addressing the relation between radiofrequency EMFs and adverse health outcomes, as well as significant developments in the technologies that use radiofrequency EMFs. Accordingly, ICNIRP has updated the radiofrequency EMF part of the 1998 Guidelines. This document presents these revised Guidelines, which provide protection for humans from exposure to EMFs from 100 kHz to 300 GHz.","author":[{"dropping-particle":"","family":"Ziegelberger","given":"Gunde","non-dropping-particle":"","parse-names":false,"suffix":""},{"dropping-particle":"","family":"Croft","given":"Rodney","non-dropping-particle":"","parse-names":false,"suffix":""},{"dropping-particle":"","family":"Feychting","given":"Maria","non-dropping-particle":"","parse-names":false,"suffix":""},{"dropping-particle":"","family":"Green","given":"Adèle C.","non-dropping-particle":"","parse-names":false,"suffix":""},{"dropping-particle":"","family":"Hirata","given":"Akimasa","non-dropping-particle":"","parse-names":false,"suffix":""},{"dropping-particle":"","family":"d'Inzeo","given":"Guglielmo","non-dropping-particle":"","parse-names":false,"suffix":""},{"dropping-particle":"","family":"Jokela","given":"Kari","non-dropping-particle":"","parse-names":false,"suffix":""},{"dropping-particle":"","family":"Loughran","given":"Sarah","non-dropping-particle":"","parse-names":false,"suffix":""},{"dropping-particle":"","family":"Marino","given":"Carmela","non-dropping-particle":"","parse-names":false,"suffix":""},{"dropping-particle":"","family":"Miller","given":"Sharon","non-dropping-particle":"","parse-names":false,"suffix":""},{"dropping-particle":"","family":"Oftedal","given":"Gunnhild","non-dropping-particle":"","parse-names":false,"suffix":""},{"dropping-particle":"","family":"Okuno","given":"Tsutomu","non-dropping-particle":"","parse-names":false,"suffix":""},{"dropping-particle":"","family":"Rongen","given":"Eric","non-dropping-particle":"van","parse-names":false,"suffix":""},{"dropping-particle":"","family":"Röösli","given":"Martin","non-dropping-particle":"","parse-names":false,"suffix":""},{"dropping-particle":"","family":"Sienkiewicz","given":"Zenon","non-dropping-particle":"","parse-names":false,"suffix":""},{"dropping-particle":"","family":"Tattersall","given":"John","non-dropping-particle":"","parse-names":false,"suffix":""},{"dropping-particle":"","family":"Watanabe","given":"Soichi","non-dropping-particle":"","parse-names":false,"suffix":""}],"container-title":"Health Physics","id":"ITEM-1","issue":"5","issued":{"date-parts":[["2020"]]},"number-of-pages":"483-524","title":"Guidelines for limiting exposure to electromagnetic fields (100 kHz to 300 GHz)","type":"book","volume":"118"},"uris":["http://www.mendeley.com/documents/?uuid=a25c1e8d-a68d-4d83-aac2-e987c88b8cac"]}],"mendeley":{"formattedCitation":"[5]","plainTextFormattedCitation":"[5]","previouslyFormattedCitation":"[5]"},"properties":{"noteIndex":0},"schema":"https://github.com/citation-style-language/schema/raw/master/csl-citation.json"}</w:instrText>
      </w:r>
      <w:r>
        <w:rPr>
          <w:lang w:val="en-US"/>
        </w:rPr>
        <w:fldChar w:fldCharType="separate"/>
      </w:r>
      <w:r>
        <w:rPr>
          <w:lang w:val="en-US"/>
        </w:rPr>
        <w:t>[5]</w:t>
      </w:r>
      <w:r>
        <w:rPr>
          <w:lang w:val="en-US"/>
        </w:rPr>
        <w:fldChar w:fldCharType="end"/>
      </w:r>
      <w:r>
        <w:rPr>
          <w:lang w:val="en-US"/>
        </w:rPr>
        <w:t xml:space="preserve">. This level is intended to prevent nerve stimulation. It is crucial to note that this reference level is derived for uniform, whole-body exposure scenarios. ICNIRP states that for highly localized sources close to the body, a direct comparison may not be appropriate, and internal dosimetry analysis is preferable for an accurate compliance assessment </w:t>
      </w:r>
      <w:r>
        <w:rPr>
          <w:lang w:val="en-US"/>
        </w:rPr>
        <w:fldChar w:fldCharType="begin" w:fldLock="1"/>
      </w:r>
      <w:r>
        <w:rPr>
          <w:lang w:val="en-US"/>
        </w:rPr>
        <w:instrText xml:space="preserve">ADDIN CSL_CITATION {"citationItems":[{"id":"ITEM-1","itemData":{"DOI":"10.1097/HP.0000000000001210","ISBN":"0000000000","ISSN":"15385159","PMID":"32167495","abstract":"Radiofrequency electromagnetic fields (EMFs) are used to enable a number of modern devices, including mobile telecommunications infrastructure and phones, Wi-Fi, and Bluetooth. As radiofrequency EMFs at sufficiently high power levels can adversely affect health, ICNIRP published Guidelines in 1998 for human exposure to time-varying EMFs up to 300 GHz, which included the radiofrequency EMF spectrum. Since that time, there has been a considerable body of science further addressing the relation between radiofrequency EMFs and adverse health outcomes, as well as significant developments in the technologies that use radiofrequency EMFs. Accordingly, ICNIRP has updated the radiofrequency EMF part of the 1998 Guidelines. This document presents these revised Guidelines, which provide protection for humans from exposure to EMFs from 100 kHz to 300 GHz.","author":[{"dropping-particle":"","family":"Ziegelberger","given":"Gunde","non-dropping-particle":"","parse-names":false,"suffix":""},{"dropping-particle":"","family":"Croft","given":"Rodney","non-dropping-particle":"","parse-names":false,"suffix":""},{"dropping-particle":"","family":"Feychting","given":"Maria","non-dropping-particle":"","parse-names":false,"suffix":""},{"dropping-particle":"","family":"Green","given":"Adèle C.","non-dropping-particle":"","parse-names":false,"suffix":""},{"dropping-particle":"","family":"Hirata","given":"Akimasa","non-dropping-particle":"","parse-names":false,"suffix":""},{"dropping-particle":"","family":"d'Inzeo","given":"Guglielmo","non-dropping-particle":"","parse-names":false,"suffix":""},{"dropping-particle":"","family":"Jokela","given":"Kari","non-dropping-particle":"","parse-names":false,"suffix":""},{"dropping-particle":"","family":"Loughran","given":"Sarah","non-dropping-particle":"","parse-names":false,"suffix":""},{"dropping-particle":"","family":"Marino","given":"Carmela","non-dropping-particle":"","parse-names":false,"suffix":""},{"dropping-particle":"","family":"Miller","given":"Sharon","non-dropping-particle":"","parse-names":false,"suffix":""},{"dropping-particle":"","family":"Oftedal","given":"Gunnhild","non-dropping-particle":"","parse-names":false,"suffix":""},{"dropping-particle":"","family":"Okuno","given":"Tsutomu","non-dropping-particle":"","parse-names":false,"suffix":""},{"dropping-particle":"","family":"Rongen","given":"Eric","non-dropping-particle":"van","parse-names":false,"suffix":""},{"dropping-particle":"","family":"Röösli","given":"Martin","non-dropping-particle":"","parse-names":false,"suffix":""},{"dropping-particle":"","family":"Sienkiewicz","given":"Zenon","non-dropping-particle":"","parse-names":false,"suffix":""},{"dropping-particle":"","family":"Tattersall","given":"John","non-dropping-particle":"","parse-names":false,"suffix":""},{"dropping-particle":"","family":"Watanabe","given":"Soichi","non-dropping-particle":"","parse-names":false,"suffix":""}],"container-title":"Health Physics","id":"ITEM-1","issue":"5","issued":{"date-parts":[["2020"]]},"number-of-pages":"483-524","title":"Guidelines for limiting exposure to electromagnetic fields (100 kHz to 300 GHz)","type":"book","volume":"118"},"uris":["http://www.mendeley.com/documents/?uuid=a25c1e8d-a68d-4d83-aac2-e987c88b8cac"]}],"mendeley":{"formattedCitation":"[5]","plainTextFormattedCitation":"[5]","previouslyFormattedCitation":"[5]"},"properties":{"noteIndex":0},"schema":"https://github.com/citation-style-language/schema/raw/master/csl-citation.json"}</w:instrText>
      </w:r>
      <w:r>
        <w:rPr>
          <w:lang w:val="en-US"/>
        </w:rPr>
        <w:fldChar w:fldCharType="separate"/>
      </w:r>
      <w:r>
        <w:rPr>
          <w:lang w:val="en-US"/>
        </w:rPr>
        <w:t>[5]</w:t>
      </w:r>
      <w:r>
        <w:rPr>
          <w:lang w:val="en-US"/>
        </w:rPr>
        <w:fldChar w:fldCharType="end"/>
      </w:r>
      <w:r>
        <w:rPr>
          <w:lang w:val="en-US"/>
        </w:rPr>
        <w:t>.</w:t>
      </w:r>
    </w:p>
    <w:p w14:paraId="2EED2A9F">
      <w:pPr>
        <w:rPr>
          <w:lang w:val="en-US"/>
        </w:rPr>
      </w:pPr>
      <w:r>
        <w:rPr>
          <w:lang w:val="en-US"/>
        </w:rPr>
        <w:t>A critical and novel aspect of this research is the investigation of how semiconductor manufacturing processes influence these emissions. We hypothesize that the transition from older 12nm process nodes to advanced 4nm nodes correlates with reduced ELF emissions. According to the Biot-Savart law, the strength of the magnetic field generated by internal circuits is directly proportional to the current loop area on the PCB. As highlighted in a recent review of EMI challenges, modern power electronic architectures increasingly employ tighter integration techniques that theoretically minimize these loop areas, thereby improving the EMC</w:t>
      </w:r>
      <w:r>
        <w:rPr>
          <w:lang w:val="en-US"/>
        </w:rPr>
        <w:fldChar w:fldCharType="begin" w:fldLock="1"/>
      </w:r>
      <w:r>
        <w:rPr>
          <w:lang w:val="en-US"/>
        </w:rPr>
        <w:instrText xml:space="preserve">ADDIN CSL_CITATION {"citationItems":[{"id":"ITEM-1","itemData":{"DOI":"10.3389/felec.2023.1274258","author":[{"dropping-particle":"","family":"Yuan","given":"Liang","non-dropping-particle":"","parse-names":false,"suffix":""},{"dropping-particle":"","family":"Zhang","given":"Jian","non-dropping-particle":"","parse-names":false,"suffix":""},{"dropping-particle":"","family":"Liang","given":"Zheng","non-dropping-particle":"","parse-names":false,"suffix":""},{"dropping-particle":"","family":"Hu","given":"Mingxin","non-dropping-particle":"","parse-names":false,"suffix":""}],"id":"ITEM-1","issue":"November","issued":{"date-parts":[["2023"]]},"page":"1-15","title":"EMI challenges in modern power electronic-based converters : recent advances and mitigation techniques","type":"article-journal"},"uris":["http://www.mendeley.com/documents/?uuid=68884a70-f9aa-413e-8d9f-38edaebd26f6"]}],"mendeley":{"formattedCitation":"[8]","plainTextFormattedCitation":"[8]","previouslyFormattedCitation":"[9]"},"properties":{"noteIndex":0},"schema":"https://github.com/citation-style-language/schema/raw/master/csl-citation.json"}</w:instrText>
      </w:r>
      <w:r>
        <w:rPr>
          <w:lang w:val="en-US"/>
        </w:rPr>
        <w:fldChar w:fldCharType="separate"/>
      </w:r>
      <w:r>
        <w:rPr>
          <w:lang w:val="en-US"/>
        </w:rPr>
        <w:t>[8]</w:t>
      </w:r>
      <w:r>
        <w:rPr>
          <w:lang w:val="en-US"/>
        </w:rPr>
        <w:fldChar w:fldCharType="end"/>
      </w:r>
      <w:r>
        <w:rPr>
          <w:lang w:val="en-US"/>
        </w:rPr>
        <w:t>.</w:t>
      </w:r>
    </w:p>
    <w:p w14:paraId="7E69954E">
      <w:pPr>
        <w:rPr>
          <w:lang w:val="en-US"/>
        </w:rPr>
      </w:pPr>
      <w:r>
        <w:rPr>
          <w:lang w:val="en-US"/>
        </w:rPr>
        <w:t xml:space="preserve">Furthermore, this study addresses the methodological debate regarding the use of saline phantoms. While critics argue that saline does not replicate the permittivity of brain tissue at RF frequencies, we contend that for ELF magnetic fields, the dominant interaction mechanism is the induction of eddy currents, which is governed by conductivity rather than permittivity. This approach demonstrated that in phantom shell designs, material choices must align with the specific frequency-dependent interaction mechanism. Moreover, recent characterizations confirm that for low-frequency bio-impedance measurements, preserving conductivity matching is the critical parameter for validity </w:t>
      </w:r>
      <w:r>
        <w:rPr>
          <w:lang w:val="en-US"/>
        </w:rPr>
        <w:fldChar w:fldCharType="begin" w:fldLock="1"/>
      </w:r>
      <w:r>
        <w:rPr>
          <w:lang w:val="en-US"/>
        </w:rPr>
        <w:instrText xml:space="preserve">ADDIN CSL_CITATION {"citationItems":[{"id":"ITEM-1","itemData":{"DOI":"10.3389/fphys.2025.1537537","author":[{"dropping-particle":"","family":"Shi","given":"Yueying","non-dropping-particle":"","parse-names":false,"suffix":""},{"dropping-particle":"","family":"Bai","given":"Xiaoxiao","non-dropping-particle":"","parse-names":false,"suffix":""},{"dropping-particle":"","family":"Yang","given":"Jingrong","non-dropping-particle":"","parse-names":false,"suffix":""},{"dropping-particle":"","family":"Wu","given":"Xinyu","non-dropping-particle":"","parse-names":false,"suffix":""}],"id":"ITEM-1","issue":"January","issued":{"date-parts":[["2025"]]},"page":"1-11","title":"Optimized measurement methods and systems for the dielectric properties of active biological tissues in the 10Hz-100 MHz frequency range","type":"article-journal"},"uris":["http://www.mendeley.com/documents/?uuid=735d1c26-b122-4f86-ab92-c730022a0d64"]}],"mendeley":{"formattedCitation":"[9]","plainTextFormattedCitation":"[9]","previouslyFormattedCitation":"[10]"},"properties":{"noteIndex":0},"schema":"https://github.com/citation-style-language/schema/raw/master/csl-citation.json"}</w:instrText>
      </w:r>
      <w:r>
        <w:rPr>
          <w:lang w:val="en-US"/>
        </w:rPr>
        <w:fldChar w:fldCharType="separate"/>
      </w:r>
      <w:r>
        <w:rPr>
          <w:lang w:val="en-US"/>
        </w:rPr>
        <w:t>[9]</w:t>
      </w:r>
      <w:r>
        <w:rPr>
          <w:lang w:val="en-US"/>
        </w:rPr>
        <w:fldChar w:fldCharType="end"/>
      </w:r>
      <w:r>
        <w:rPr>
          <w:lang w:val="en-US"/>
        </w:rPr>
        <w:t>.</w:t>
      </w:r>
    </w:p>
    <w:p w14:paraId="0A1C6342">
      <w:pPr>
        <w:rPr>
          <w:lang w:val="en-US"/>
        </w:rPr>
      </w:pPr>
      <w:r>
        <w:rPr>
          <w:lang w:val="en-US"/>
        </w:rPr>
        <w:t xml:space="preserve">This study addresses this research gap with two primary objectives. First, it quantitatively characterizes and compares the ELF emission "fingerprints" of two smartphone models representing different market segments and engineering philosophies: the Xiaomi Redmi Note 8 Pro (a 4G mid-range device) and the Samsung Galaxy S23 (a 5G premium device). The hypothesis is that the level of ELF emission is more reflective of the internal hardware's engineering quality and EMC than its network generation. Second, this research aims to empirically compare the effectiveness of two fundamental exposure mitigation strategies: material-based shielding, represented by a simple head phantom, and spatial separation. Accordingly, this study not only provides novel exposure data but also offers practical insights into the hardware design factors influencing ELF exposure and the most effective methods for its mitigation </w:t>
      </w:r>
      <w:r>
        <w:rPr>
          <w:lang w:val="en-US"/>
        </w:rPr>
        <w:fldChar w:fldCharType="begin" w:fldLock="1"/>
      </w:r>
      <w:r>
        <w:rPr>
          <w:lang w:val="en-US"/>
        </w:rPr>
        <w:instrText xml:space="preserve">ADDIN CSL_CITATION {"citationItems":[{"id":"ITEM-1","itemData":{"DOI":"10.1002/bem.20271","ISSN":"1521186X","PMID":"17203479","abstract":"The complex permittivity of aqueous solutions at 20°C has been measured at concentrations between 0.001 and 5 mol/L and over a frequency range 0.13-20 GHz. The results were combined with literature values to derive empirical equations to predict the dielectric behavior of sodium chloride solutions between 0 and 5 mol/L and 5°C-35°C. © 2007 Wiley-Liss, Inc.","author":[{"dropping-particle":"","family":"Peyman","given":"A.","non-dropping-particle":"","parse-names":false,"suffix":""},{"dropping-particle":"","family":"Gabriel","given":"C.","non-dropping-particle":"","parse-names":false,"suffix":""},{"dropping-particle":"","family":"Grant","given":"E. H.","non-dropping-particle":"","parse-names":false,"suffix":""}],"container-title":"Bioelectromagnetics","id":"ITEM-1","issue":"4","issued":{"date-parts":[["2007"]]},"page":"264-274","title":"Complex permittivity of sodium chloride solutions at microwave frequencies","type":"article-journal","volume":"28"},"uris":["http://www.mendeley.com/documents/?uuid=5a6cc7c6-be3f-46a0-b2f4-7d3a82ae3147"]},{"id":"ITEM-2","itemData":{"DOI":"10.1002/bem.10123","ISSN":"01978462","PMID":"12929161","abstract":"The dielectric properties of gray matter in the frequency range of 800-2450 MHz were measured on 20 human brains immediately after excision, less than 10 h after death. The brains were obtained during autopsy of 10 male and 10 female humans who died at ages between 47.5 and 87.5 years [70.4 ± 9. 8 years, mean ± standard deviation (SD)]. The tissue temperature at the measurement sites ranged between 18 and 25 °C (21.35 ± 1.6 °C, mean ± SD). On each brain, four specific locations on the temporal lobe were measured on the right and left sides, i.e., 160 different measurements of the dielectric properties were performed. The dielectric probe was placed on the intact arachnoid on a gyrus in the selected area. The measurements yielded a mean value (±SD) of gray matter equivalent conductivity of 1.13 ± 0.12 and 2.09 ± 0.16 S/m at 800 and 2450 MHz, respectively. The mean value of measured relative permittivity was 58.2 ± 3.3 and 54.7 ± 3.3 at 800 and 2450 MHz, respectively. Taking into account a positive temperature coefficient of equivalent conductivity, these measurements indicate that the equivalent conductivity of human gray matter at body temperature is somewhat higher than today's generally accepted value, which is based on measurements on animal tissue and excised samples of human tissue measured more than 24 h postmortem. © 2003 Wiley-Liss, Inc.","author":[{"dropping-particle":"","family":"Schmid","given":"Gernot","non-dropping-particle":"","parse-names":false,"suffix":""},{"dropping-particle":"","family":"Neubauer","given":"Georg","non-dropping-particle":"","parse-names":false,"suffix":""},{"dropping-particle":"","family":"Mazal","given":"Peter R.","non-dropping-particle":"","parse-names":false,"suffix":""}],"container-title":"Bioelectromagnetics","id":"ITEM-2","issue":"6","issued":{"date-parts":[["2003"]]},"page":"423-430","title":"Dielectric Properties of Human Brain Tissue Measured Less Than 10 h Postmortem at Frequencies from 800 to 2450 MHz","type":"article-journal","volume":"24"},"uris":["http://www.mendeley.com/documents/?uuid=92117776-5c1f-4792-b93d-72a626863a28"]}],"mendeley":{"formattedCitation":"[10], [11]","plainTextFormattedCitation":"[10], [11]","previouslyFormattedCitation":"[11], [12]"},"properties":{"noteIndex":0},"schema":"https://github.com/citation-style-language/schema/raw/master/csl-citation.json"}</w:instrText>
      </w:r>
      <w:r>
        <w:rPr>
          <w:lang w:val="en-US"/>
        </w:rPr>
        <w:fldChar w:fldCharType="separate"/>
      </w:r>
      <w:r>
        <w:rPr>
          <w:lang w:val="en-US"/>
        </w:rPr>
        <w:t>[10], [11]</w:t>
      </w:r>
      <w:r>
        <w:rPr>
          <w:lang w:val="en-US"/>
        </w:rPr>
        <w:fldChar w:fldCharType="end"/>
      </w:r>
      <w:r>
        <w:rPr>
          <w:lang w:val="en-US"/>
        </w:rPr>
        <w:t>.</w:t>
      </w:r>
    </w:p>
    <w:p w14:paraId="58F8F9A6">
      <w:pPr>
        <w:pStyle w:val="2"/>
        <w:rPr>
          <w:color w:val="FF0000"/>
        </w:rPr>
      </w:pPr>
      <w:r>
        <w:rPr>
          <w:lang w:val="en-US"/>
        </w:rPr>
        <w:t>Methods</w:t>
      </w:r>
    </w:p>
    <w:p w14:paraId="628E4459">
      <w:r>
        <w:t>This research implemented a quantitative experimental approach to measure and analyze the magnetic field (B-field) intensity from smartphones under controlled conditions.</w:t>
      </w:r>
    </w:p>
    <w:p w14:paraId="06E0EB85">
      <w:pPr>
        <w:pStyle w:val="3"/>
        <w:rPr>
          <w:color w:val="000000" w:themeColor="text1"/>
          <w14:textFill>
            <w14:solidFill>
              <w14:schemeClr w14:val="tx1"/>
            </w14:solidFill>
          </w14:textFill>
        </w:rPr>
      </w:pPr>
      <w:r>
        <w:rPr>
          <w:color w:val="000000" w:themeColor="text1"/>
          <w14:textFill>
            <w14:solidFill>
              <w14:schemeClr w14:val="tx1"/>
            </w14:solidFill>
          </w14:textFill>
        </w:rPr>
        <w:t>Design and Devices for Experiments</w:t>
      </w:r>
    </w:p>
    <w:p w14:paraId="7DB7F0FB">
      <w:pPr>
        <w:rPr>
          <w:color w:val="000000" w:themeColor="text1"/>
          <w14:textFill>
            <w14:solidFill>
              <w14:schemeClr w14:val="tx1"/>
            </w14:solidFill>
          </w14:textFill>
        </w:rPr>
      </w:pPr>
      <w:r>
        <w:rPr>
          <w:color w:val="000000" w:themeColor="text1"/>
          <w14:textFill>
            <w14:solidFill>
              <w14:schemeClr w14:val="tx1"/>
            </w14:solidFill>
          </w14:textFill>
        </w:rPr>
        <w:t>Two smartphone models were selected to represent different hardware architectures: the Xiaomi Redmi Note 8 Pro, equipped with a MediaTek Helio G90T chipset (built on a 12nm process), and the Samsung Galaxy S23, powered by a Qualcomm Snapdragon 8 Gen 2 for Galaxy chipset (manufactured with a more advanced 4nm process). Magnetic field strength was measured using an F.W. Bell 5100 series Gaussmeter equipped with a transversal Hall-effect probe. This device provides a typical frequency response from DC to 10 kHz, ensuring that it specifically measures magnetic fields in the ELF spectrum generated by internal circuitry, without interference from RF emissions from the antennas.</w:t>
      </w:r>
    </w:p>
    <w:p w14:paraId="1036FF85">
      <w:pPr>
        <w:pStyle w:val="3"/>
      </w:pPr>
      <w:r>
        <w:t>Phantom Fabrication and TSL Preparation</w:t>
      </w:r>
    </w:p>
    <w:p w14:paraId="73501568">
      <w:pPr>
        <w:ind w:firstLine="357"/>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A simplified head phantom system was designed</w:t>
      </w:r>
      <w:r>
        <w:rPr>
          <w:rFonts w:hint="default"/>
          <w:color w:val="000000" w:themeColor="text1"/>
          <w:lang w:val="en-US"/>
          <w14:textFill>
            <w14:solidFill>
              <w14:schemeClr w14:val="tx1"/>
            </w14:solidFill>
          </w14:textFill>
        </w:rPr>
        <w:t>, as depicted in Figure 1,</w:t>
      </w:r>
      <w:r>
        <w:rPr>
          <w:color w:val="000000" w:themeColor="text1"/>
          <w14:textFill>
            <w14:solidFill>
              <w14:schemeClr w14:val="tx1"/>
            </w14:solidFill>
          </w14:textFill>
        </w:rPr>
        <w:t xml:space="preserve"> to evaluate the effectiveness of a representative material. Both a CAD model of a cubic phantom with external dimensions of 15 cm x 15 cm x 15 cm and a wall thickness of 5 mm were prepared with the use of Autodesk Fusion 360 software. The phantom shell was then fabricated using Fused Deposition Modeling (FDM) 3D printing technology with Polyethylene Terephthalate Glycol (PETG) filament.</w:t>
      </w:r>
    </w:p>
    <w:p w14:paraId="41E70917">
      <w:pPr>
        <w:rPr>
          <w:color w:val="000000" w:themeColor="text1"/>
          <w14:textFill>
            <w14:solidFill>
              <w14:schemeClr w14:val="tx1"/>
            </w14:solidFill>
          </w14:textFill>
        </w:rPr>
      </w:pPr>
      <w:r>
        <w:rPr>
          <w:color w:val="000000" w:themeColor="text1"/>
          <w14:textFill>
            <w14:solidFill>
              <w14:schemeClr w14:val="tx1"/>
            </w14:solidFill>
          </w14:textFill>
        </w:rPr>
        <w:t xml:space="preserve">While anatomically correct phantoms, such as the Specific Anthropomorphic Mannequin (SAM), are the standard for SAR testing, a simplified cubic geometry was intentionally selected for this study. This approach provides a standardized, repeatable volume for the tissue-simulating liquid or TSL, enabling an </w:t>
      </w:r>
      <w:r>
        <w:rPr>
          <w:sz w:val="20"/>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-25400</wp:posOffset>
                </wp:positionV>
                <wp:extent cx="2912745" cy="3038475"/>
                <wp:effectExtent l="0" t="0" r="0" b="0"/>
                <wp:wrapTopAndBottom/>
                <wp:docPr id="10" name="Rectangles 10"/>
                <wp:cNvGraphicFramePr/>
                <a:graphic xmlns:a="http://schemas.openxmlformats.org/drawingml/2006/main">
                  <a:graphicData uri="http://schemas.microsoft.com/office/word/2010/wordprocessingShape">
                    <wps:wsp>
                      <wps:cNvSpPr/>
                      <wps:spPr>
                        <a:xfrm>
                          <a:off x="897255" y="721360"/>
                          <a:ext cx="2912745" cy="30384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0CA61DA">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1420495" cy="2635250"/>
                                  <wp:effectExtent l="0" t="0" r="1206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29582" cy="2651741"/>
                                          </a:xfrm>
                                          <a:prstGeom prst="rect">
                                            <a:avLst/>
                                          </a:prstGeom>
                                        </pic:spPr>
                                      </pic:pic>
                                    </a:graphicData>
                                  </a:graphic>
                                </wp:inline>
                              </w:drawing>
                            </w:r>
                          </w:p>
                          <w:p w14:paraId="1809FCBB">
                            <w:pPr>
                              <w:pStyle w:val="53"/>
                              <w:rPr>
                                <w:color w:val="000000" w:themeColor="text1"/>
                                <w:lang w:val="en-US"/>
                                <w14:textFill>
                                  <w14:solidFill>
                                    <w14:schemeClr w14:val="tx1"/>
                                  </w14:solidFill>
                                </w14:textFill>
                              </w:rPr>
                            </w:pPr>
                            <w:r>
                              <w:rPr>
                                <w:color w:val="000000" w:themeColor="text1"/>
                                <w:lang w:val="en-US"/>
                                <w14:textFill>
                                  <w14:solidFill>
                                    <w14:schemeClr w14:val="tx1"/>
                                  </w14:solidFill>
                                </w14:textFill>
                              </w:rPr>
                              <w:t>Figure 1 (a) Phantom Design in Autodesk Fusion 360. (b) The 3D-printed Phantom</w:t>
                            </w:r>
                          </w:p>
                          <w:p w14:paraId="291F0EE3">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2pt;height:239.25pt;width:229.35pt;mso-wrap-distance-bottom:0pt;mso-wrap-distance-top:0pt;z-index:251662336;v-text-anchor:middle;mso-width-relative:page;mso-height-relative:page;" filled="f" stroked="f" coordsize="21600,21600" o:gfxdata="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2ao5C1wAAAAgB&#10;AAAPAAAAAAAAAAEAIAAAACIAAABkcnMvZG93bnJldi54bWxQSwECFAAUAAAACACHTuJA8NBnVFUC&#10;AACnBAAADgAAAAAAAAABACAAAAAmAQAAZHJzL2Uyb0RvYy54bWxQSwUGAAAAAAYABgBZAQAA7QUA&#10;AAAA&#10;">
                <v:fill on="f" focussize="0,0"/>
                <v:stroke on="f" weight="2pt"/>
                <v:imagedata o:title=""/>
                <o:lock v:ext="edit" aspectratio="f"/>
                <v:textbox>
                  <w:txbxContent>
                    <w:p w14:paraId="20CA61DA">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1420495" cy="2635250"/>
                            <wp:effectExtent l="0" t="0" r="1206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29582" cy="2651741"/>
                                    </a:xfrm>
                                    <a:prstGeom prst="rect">
                                      <a:avLst/>
                                    </a:prstGeom>
                                  </pic:spPr>
                                </pic:pic>
                              </a:graphicData>
                            </a:graphic>
                          </wp:inline>
                        </w:drawing>
                      </w:r>
                    </w:p>
                    <w:p w14:paraId="1809FCBB">
                      <w:pPr>
                        <w:pStyle w:val="53"/>
                        <w:rPr>
                          <w:color w:val="000000" w:themeColor="text1"/>
                          <w:lang w:val="en-US"/>
                          <w14:textFill>
                            <w14:solidFill>
                              <w14:schemeClr w14:val="tx1"/>
                            </w14:solidFill>
                          </w14:textFill>
                        </w:rPr>
                      </w:pPr>
                      <w:r>
                        <w:rPr>
                          <w:color w:val="000000" w:themeColor="text1"/>
                          <w:lang w:val="en-US"/>
                          <w14:textFill>
                            <w14:solidFill>
                              <w14:schemeClr w14:val="tx1"/>
                            </w14:solidFill>
                          </w14:textFill>
                        </w:rPr>
                        <w:t>Figure 1 (a) Phantom Design in Autodesk Fusion 360. (b) The 3D-printed Phantom</w:t>
                      </w:r>
                    </w:p>
                    <w:p w14:paraId="291F0EE3">
                      <w:pPr>
                        <w:jc w:val="center"/>
                        <w:rPr>
                          <w:color w:val="000000" w:themeColor="text1"/>
                          <w14:textFill>
                            <w14:solidFill>
                              <w14:schemeClr w14:val="tx1"/>
                            </w14:solidFill>
                          </w14:textFill>
                        </w:rPr>
                      </w:pPr>
                    </w:p>
                  </w:txbxContent>
                </v:textbox>
                <w10:wrap type="topAndBottom"/>
              </v:rect>
            </w:pict>
          </mc:Fallback>
        </mc:AlternateContent>
      </w:r>
      <w:r>
        <w:rPr>
          <w:color w:val="000000" w:themeColor="text1"/>
          <w14:textFill>
            <w14:solidFill>
              <w14:schemeClr w14:val="tx1"/>
            </w14:solidFill>
          </w14:textFill>
        </w:rPr>
        <w:t>unambiguous analysis of the fundamental physical principles of attenuation without the confounding geometric complexities associated with an anatomical model.</w:t>
      </w:r>
    </w:p>
    <w:p w14:paraId="325FA775">
      <w:pPr>
        <w:rPr>
          <w:color w:val="000000" w:themeColor="text1"/>
          <w14:textFill>
            <w14:solidFill>
              <w14:schemeClr w14:val="tx1"/>
            </w14:solidFill>
          </w14:textFill>
        </w:rPr>
      </w:pPr>
      <w:r>
        <w:rPr>
          <w:color w:val="000000" w:themeColor="text1"/>
          <w14:textFill>
            <w14:solidFill>
              <w14:schemeClr w14:val="tx1"/>
            </w14:solidFill>
          </w14:textFill>
        </w:rPr>
        <w:t>The Tissue Simulating Liquid (TSL) employed was a 0.9% w/v saline solution (27g NaCl in 3L deionized water). This solution achieves a conductivity of σ ≈ 1.5 S/m. While its permittivity differs from the complex brain tissue models described in older literature, recent dielectric studies by</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indicate that age and tissue variations significantly affect permittivity, yet conductivity remains the primary determinant for induced currents in the ELF range</w:t>
      </w:r>
      <w:r>
        <w:rPr>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fldChar w:fldCharType="begin" w:fldLock="1"/>
      </w:r>
      <w:r>
        <w:rPr>
          <w:color w:val="000000" w:themeColor="text1"/>
          <w:lang w:val="en-US"/>
          <w14:textFill>
            <w14:solidFill>
              <w14:schemeClr w14:val="tx1"/>
            </w14:solidFill>
          </w14:textFill>
        </w:rPr>
        <w:instrText xml:space="preserve">ADDIN CSL_CITATION {"citationItems":[{"id":"ITEM-1","itemData":{"DOI":"10.1016/j.neuroimage.2025.121559","ISSN":"1053-8119","author":[{"dropping-particle":"","family":"Marmin","given":"Sébastien","non-dropping-particle":"","parse-names":false,"suffix":""},{"dropping-particle":"","family":"Arduino","given":"Alessandro","non-dropping-particle":"","parse-names":false,"suffix":""},{"dropping-particle":"","family":"Cencini","given":"Matteo","non-dropping-particle":"","parse-names":false,"suffix":""},{"dropping-particle":"","family":"Lancione","given":"Marta","non-dropping-particle":"","parse-names":false,"suffix":""},{"dropping-particle":"","family":"Biagi","given":"Laura","non-dropping-particle":"","parse-names":false,"suffix":""},{"dropping-particle":"","family":"Tosetti","given":"Michela","non-dropping-particle":"","parse-names":false,"suffix":""},{"dropping-particle":"","family":"Zilberti","given":"Luca","non-dropping-particle":"","parse-names":false,"suffix":""}],"container-title":"NeuroImage","id":"ITEM-1","issue":"June","issued":{"date-parts":[["2025"]]},"page":"121559","publisher":"Elsevier Inc.","title":"NeuroImage Linking dielectric dispersion and age in brain tissues via water content-based Electric Properties Tomography","type":"article-journal","volume":"322"},"uris":["http://www.mendeley.com/documents/?uuid=e0fffe51-6068-4048-9703-428be68967d5"]}],"mendeley":{"formattedCitation":"[12]","plainTextFormattedCitation":"[12]","previouslyFormattedCitation":"[13]"},"properties":{"noteIndex":0},"schema":"https://github.com/citation-style-language/schema/raw/master/csl-citation.json"}</w:instrText>
      </w:r>
      <w:r>
        <w:rPr>
          <w:color w:val="000000" w:themeColor="text1"/>
          <w:lang w:val="en-US"/>
          <w14:textFill>
            <w14:solidFill>
              <w14:schemeClr w14:val="tx1"/>
            </w14:solidFill>
          </w14:textFill>
        </w:rPr>
        <w:fldChar w:fldCharType="separate"/>
      </w:r>
      <w:r>
        <w:rPr>
          <w:color w:val="000000" w:themeColor="text1"/>
          <w:lang w:val="en-US"/>
          <w14:textFill>
            <w14:solidFill>
              <w14:schemeClr w14:val="tx1"/>
            </w14:solidFill>
          </w14:textFill>
        </w:rPr>
        <w:t>[12]</w:t>
      </w:r>
      <w:r>
        <w:rPr>
          <w:color w:val="000000" w:themeColor="text1"/>
          <w:lang w:val="en-US"/>
          <w14:textFill>
            <w14:solidFill>
              <w14:schemeClr w14:val="tx1"/>
            </w14:solidFill>
          </w14:textFill>
        </w:rPr>
        <w:fldChar w:fldCharType="end"/>
      </w:r>
      <w:r>
        <w:rPr>
          <w:color w:val="000000" w:themeColor="text1"/>
          <w14:textFill>
            <w14:solidFill>
              <w14:schemeClr w14:val="tx1"/>
            </w14:solidFill>
          </w14:textFill>
        </w:rPr>
        <w:t xml:space="preserve">. Therefore, aligning with the </w:t>
      </w:r>
      <w:r>
        <w:rPr>
          <w:color w:val="000000" w:themeColor="text1"/>
          <w:lang w:val="en-US"/>
          <w14:textFill>
            <w14:solidFill>
              <w14:schemeClr w14:val="tx1"/>
            </w14:solidFill>
          </w14:textFill>
        </w:rPr>
        <w:t xml:space="preserve">suggested </w:t>
      </w:r>
      <w:r>
        <w:rPr>
          <w:color w:val="000000" w:themeColor="text1"/>
          <w14:textFill>
            <w14:solidFill>
              <w14:schemeClr w14:val="tx1"/>
            </w14:solidFill>
          </w14:textFill>
        </w:rPr>
        <w:t>optimized measurement protocols, the saline solution serves as a valid, worst-case model for evaluating magnetic shielding effectiveness via induced eddy currents</w:t>
      </w:r>
      <w:r>
        <w:rPr>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fldChar w:fldCharType="begin" w:fldLock="1"/>
      </w:r>
      <w:r>
        <w:rPr>
          <w:color w:val="000000" w:themeColor="text1"/>
          <w:lang w:val="en-US"/>
          <w14:textFill>
            <w14:solidFill>
              <w14:schemeClr w14:val="tx1"/>
            </w14:solidFill>
          </w14:textFill>
        </w:rPr>
        <w:instrText xml:space="preserve">ADDIN CSL_CITATION {"citationItems":[{"id":"ITEM-1","itemData":{"DOI":"10.3389/fphys.2025.1537537","author":[{"dropping-particle":"","family":"Shi","given":"Yueying","non-dropping-particle":"","parse-names":false,"suffix":""},{"dropping-particle":"","family":"Bai","given":"Xiaoxiao","non-dropping-particle":"","parse-names":false,"suffix":""},{"dropping-particle":"","family":"Yang","given":"Jingrong","non-dropping-particle":"","parse-names":false,"suffix":""},{"dropping-particle":"","family":"Wu","given":"Xinyu","non-dropping-particle":"","parse-names":false,"suffix":""}],"id":"ITEM-1","issue":"January","issued":{"date-parts":[["2025"]]},"page":"1-11","title":"Optimized measurement methods and systems for the dielectric properties of active biological tissues in the 10Hz-100 MHz frequency range","type":"article-journal"},"uris":["http://www.mendeley.com/documents/?uuid=735d1c26-b122-4f86-ab92-c730022a0d64"]}],"mendeley":{"formattedCitation":"[9]","plainTextFormattedCitation":"[9]","previouslyFormattedCitation":"[10]"},"properties":{"noteIndex":0},"schema":"https://github.com/citation-style-language/schema/raw/master/csl-citation.json"}</w:instrText>
      </w:r>
      <w:r>
        <w:rPr>
          <w:color w:val="000000" w:themeColor="text1"/>
          <w:lang w:val="en-US"/>
          <w14:textFill>
            <w14:solidFill>
              <w14:schemeClr w14:val="tx1"/>
            </w14:solidFill>
          </w14:textFill>
        </w:rPr>
        <w:fldChar w:fldCharType="separate"/>
      </w:r>
      <w:r>
        <w:rPr>
          <w:color w:val="000000" w:themeColor="text1"/>
          <w:lang w:val="en-US"/>
          <w14:textFill>
            <w14:solidFill>
              <w14:schemeClr w14:val="tx1"/>
            </w14:solidFill>
          </w14:textFill>
        </w:rPr>
        <w:t>[9]</w:t>
      </w:r>
      <w:r>
        <w:rPr>
          <w:color w:val="000000" w:themeColor="text1"/>
          <w:lang w:val="en-US"/>
          <w14:textFill>
            <w14:solidFill>
              <w14:schemeClr w14:val="tx1"/>
            </w14:solidFill>
          </w14:textFill>
        </w:rPr>
        <w:fldChar w:fldCharType="end"/>
      </w:r>
      <w:r>
        <w:rPr>
          <w:color w:val="000000" w:themeColor="text1"/>
          <w:lang w:val="en-US"/>
          <w14:textFill>
            <w14:solidFill>
              <w14:schemeClr w14:val="tx1"/>
            </w14:solidFill>
          </w14:textFill>
        </w:rPr>
        <w:t>.</w:t>
      </w:r>
    </w:p>
    <w:p w14:paraId="130E7710">
      <w:pPr>
        <w:pStyle w:val="3"/>
        <w:rPr>
          <w:color w:val="000000" w:themeColor="text1"/>
          <w14:textFill>
            <w14:solidFill>
              <w14:schemeClr w14:val="tx1"/>
            </w14:solidFill>
          </w14:textFill>
        </w:rPr>
      </w:pPr>
      <w:r>
        <w:rPr>
          <w:color w:val="000000" w:themeColor="text1"/>
          <w14:textFill>
            <w14:solidFill>
              <w14:schemeClr w14:val="tx1"/>
            </w14:solidFill>
          </w14:textFill>
        </w:rPr>
        <w:t>Measurement Procedure and Layout</w:t>
      </w:r>
    </w:p>
    <w:p w14:paraId="55226CFE">
      <w:pPr>
        <w:rPr>
          <w:color w:val="000000" w:themeColor="text1"/>
          <w:lang w:val="en-US"/>
          <w14:textFill>
            <w14:solidFill>
              <w14:schemeClr w14:val="tx1"/>
            </w14:solidFill>
          </w14:textFill>
        </w:rPr>
      </w:pPr>
      <w:r>
        <w:rPr>
          <w:sz w:val="20"/>
        </w:rPr>
        <mc:AlternateContent>
          <mc:Choice Requires="wps">
            <w:drawing>
              <wp:anchor distT="0" distB="0" distL="114300" distR="114300" simplePos="0" relativeHeight="251663360" behindDoc="0" locked="0" layoutInCell="1" allowOverlap="1">
                <wp:simplePos x="0" y="0"/>
                <wp:positionH relativeFrom="column">
                  <wp:posOffset>-103505</wp:posOffset>
                </wp:positionH>
                <wp:positionV relativeFrom="paragraph">
                  <wp:posOffset>295275</wp:posOffset>
                </wp:positionV>
                <wp:extent cx="3022600" cy="2903855"/>
                <wp:effectExtent l="0" t="0" r="0" b="0"/>
                <wp:wrapTopAndBottom/>
                <wp:docPr id="12" name="Rectangles 12"/>
                <wp:cNvGraphicFramePr/>
                <a:graphic xmlns:a="http://schemas.openxmlformats.org/drawingml/2006/main">
                  <a:graphicData uri="http://schemas.microsoft.com/office/word/2010/wordprocessingShape">
                    <wps:wsp>
                      <wps:cNvSpPr/>
                      <wps:spPr>
                        <a:xfrm>
                          <a:off x="846455" y="6988810"/>
                          <a:ext cx="3022600" cy="290385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5200526">
                            <w:pPr>
                              <w:ind w:firstLine="0"/>
                              <w:jc w:val="center"/>
                              <w:rPr>
                                <w:iCs/>
                                <w:color w:val="FF0000"/>
                                <w:lang w:val="en-US"/>
                              </w:rPr>
                            </w:pPr>
                            <w:r>
                              <w:rPr>
                                <w:iCs/>
                                <w:color w:val="FF0000"/>
                                <w:lang w:val="en-US"/>
                              </w:rPr>
                              <w:drawing>
                                <wp:inline distT="0" distB="0" distL="0" distR="0">
                                  <wp:extent cx="2879725" cy="2343150"/>
                                  <wp:effectExtent l="0" t="0" r="63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a:stretch>
                                            <a:fillRect/>
                                          </a:stretch>
                                        </pic:blipFill>
                                        <pic:spPr>
                                          <a:xfrm>
                                            <a:off x="0" y="0"/>
                                            <a:ext cx="2879725" cy="2343150"/>
                                          </a:xfrm>
                                          <a:prstGeom prst="rect">
                                            <a:avLst/>
                                          </a:prstGeom>
                                        </pic:spPr>
                                      </pic:pic>
                                    </a:graphicData>
                                  </a:graphic>
                                </wp:inline>
                              </w:drawing>
                            </w:r>
                          </w:p>
                          <w:p w14:paraId="39C43288">
                            <w:pPr>
                              <w:pStyle w:val="53"/>
                              <w:spacing w:before="120" w:after="240" w:line="240" w:lineRule="auto"/>
                              <w:rPr>
                                <w:color w:val="000000" w:themeColor="text1"/>
                                <w14:textFill>
                                  <w14:solidFill>
                                    <w14:schemeClr w14:val="tx1"/>
                                  </w14:solidFill>
                                </w14:textFill>
                              </w:rPr>
                            </w:pPr>
                            <w:r>
                              <w:rPr>
                                <w:color w:val="000000" w:themeColor="text1"/>
                                <w:lang w:val="id-ID"/>
                                <w14:textFill>
                                  <w14:solidFill>
                                    <w14:schemeClr w14:val="tx1"/>
                                  </w14:solidFill>
                                </w14:textFill>
                              </w:rPr>
                              <w:t>Figure</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2</w:t>
                            </w:r>
                            <w:r>
                              <w:rPr>
                                <w:color w:val="000000" w:themeColor="text1"/>
                                <w14:textFill>
                                  <w14:solidFill>
                                    <w14:schemeClr w14:val="tx1"/>
                                  </w14:solidFill>
                                </w14:textFill>
                              </w:rPr>
                              <w:t>. Conceptual</w:t>
                            </w:r>
                            <w:r>
                              <w:rPr>
                                <w:rFonts w:hint="default"/>
                                <w:color w:val="000000" w:themeColor="text1"/>
                                <w:lang w:val="en-US"/>
                                <w14:textFill>
                                  <w14:solidFill>
                                    <w14:schemeClr w14:val="tx1"/>
                                  </w14:solidFill>
                                </w14:textFill>
                              </w:rPr>
                              <w:t>S</w:t>
                            </w:r>
                            <w:r>
                              <w:rPr>
                                <w:color w:val="000000" w:themeColor="text1"/>
                                <w14:textFill>
                                  <w14:solidFill>
                                    <w14:schemeClr w14:val="tx1"/>
                                  </w14:solidFill>
                                </w14:textFill>
                              </w:rPr>
                              <w:t>chematic of the</w:t>
                            </w:r>
                            <w:r>
                              <w:rPr>
                                <w:rFonts w:hint="default"/>
                                <w:color w:val="000000" w:themeColor="text1"/>
                                <w:lang w:val="en-US"/>
                                <w14:textFill>
                                  <w14:solidFill>
                                    <w14:schemeClr w14:val="tx1"/>
                                  </w14:solidFill>
                                </w14:textFill>
                              </w:rPr>
                              <w:t xml:space="preserve"> E</w:t>
                            </w:r>
                            <w:r>
                              <w:rPr>
                                <w:color w:val="000000" w:themeColor="text1"/>
                                <w14:textFill>
                                  <w14:solidFill>
                                    <w14:schemeClr w14:val="tx1"/>
                                  </w14:solidFill>
                                </w14:textFill>
                              </w:rPr>
                              <w:t xml:space="preserve">xperimental </w:t>
                            </w:r>
                            <w:r>
                              <w:rPr>
                                <w:rFonts w:hint="default"/>
                                <w:color w:val="000000" w:themeColor="text1"/>
                                <w:lang w:val="en-US"/>
                                <w14:textFill>
                                  <w14:solidFill>
                                    <w14:schemeClr w14:val="tx1"/>
                                  </w14:solidFill>
                                </w14:textFill>
                              </w:rPr>
                              <w:t>S</w:t>
                            </w:r>
                            <w:r>
                              <w:rPr>
                                <w:color w:val="000000" w:themeColor="text1"/>
                                <w14:textFill>
                                  <w14:solidFill>
                                    <w14:schemeClr w14:val="tx1"/>
                                  </w14:solidFill>
                                </w14:textFill>
                              </w:rPr>
                              <w:t xml:space="preserve">etup: (a)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ithout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(b)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ithout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at a </w:t>
                            </w:r>
                            <w:r>
                              <w:rPr>
                                <w:rFonts w:hint="default"/>
                                <w:color w:val="000000" w:themeColor="text1"/>
                                <w:lang w:val="en-US"/>
                                <w14:textFill>
                                  <w14:solidFill>
                                    <w14:schemeClr w14:val="tx1"/>
                                  </w14:solidFill>
                                </w14:textFill>
                              </w:rPr>
                              <w:t>D</w:t>
                            </w:r>
                            <w:r>
                              <w:rPr>
                                <w:color w:val="000000" w:themeColor="text1"/>
                                <w14:textFill>
                                  <w14:solidFill>
                                    <w14:schemeClr w14:val="tx1"/>
                                  </w14:solidFill>
                                </w14:textFill>
                              </w:rPr>
                              <w:t xml:space="preserve">istance, (c)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(d)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and TSL </w:t>
                            </w:r>
                            <w:r>
                              <w:rPr>
                                <w:rFonts w:hint="default"/>
                                <w:color w:val="000000" w:themeColor="text1"/>
                                <w:lang w:val="en-US"/>
                                <w14:textFill>
                                  <w14:solidFill>
                                    <w14:schemeClr w14:val="tx1"/>
                                  </w14:solidFill>
                                </w14:textFill>
                              </w:rPr>
                              <w:t>S</w:t>
                            </w:r>
                            <w:r>
                              <w:rPr>
                                <w:color w:val="000000" w:themeColor="text1"/>
                                <w14:textFill>
                                  <w14:solidFill>
                                    <w14:schemeClr w14:val="tx1"/>
                                  </w14:solidFill>
                                </w14:textFill>
                              </w:rPr>
                              <w:t>aline.</w:t>
                            </w:r>
                          </w:p>
                          <w:p w14:paraId="3BD72AF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23.25pt;height:228.65pt;width:238pt;mso-wrap-distance-bottom:0pt;mso-wrap-distance-top:0pt;z-index:251663360;v-text-anchor:middle;mso-width-relative:page;mso-height-relative:page;" filled="f" stroked="f" coordsize="21600,21600" o:gfxdata="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pj7yx2gAA&#10;AAoBAAAPAAAAAAAAAAEAIAAAACIAAABkcnMvZG93bnJldi54bWxQSwECFAAUAAAACACHTuJAWw1Q&#10;K1UCAACoBAAADgAAAAAAAAABACAAAAApAQAAZHJzL2Uyb0RvYy54bWxQSwUGAAAAAAYABgBZAQAA&#10;8AUAAAAA&#10;">
                <v:fill on="f" focussize="0,0"/>
                <v:stroke on="f" weight="2pt"/>
                <v:imagedata o:title=""/>
                <o:lock v:ext="edit" aspectratio="f"/>
                <v:textbox>
                  <w:txbxContent>
                    <w:p w14:paraId="65200526">
                      <w:pPr>
                        <w:ind w:firstLine="0"/>
                        <w:jc w:val="center"/>
                        <w:rPr>
                          <w:iCs/>
                          <w:color w:val="FF0000"/>
                          <w:lang w:val="en-US"/>
                        </w:rPr>
                      </w:pPr>
                      <w:r>
                        <w:rPr>
                          <w:iCs/>
                          <w:color w:val="FF0000"/>
                          <w:lang w:val="en-US"/>
                        </w:rPr>
                        <w:drawing>
                          <wp:inline distT="0" distB="0" distL="0" distR="0">
                            <wp:extent cx="2879725" cy="2343150"/>
                            <wp:effectExtent l="0" t="0" r="63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a:stretch>
                                      <a:fillRect/>
                                    </a:stretch>
                                  </pic:blipFill>
                                  <pic:spPr>
                                    <a:xfrm>
                                      <a:off x="0" y="0"/>
                                      <a:ext cx="2879725" cy="2343150"/>
                                    </a:xfrm>
                                    <a:prstGeom prst="rect">
                                      <a:avLst/>
                                    </a:prstGeom>
                                  </pic:spPr>
                                </pic:pic>
                              </a:graphicData>
                            </a:graphic>
                          </wp:inline>
                        </w:drawing>
                      </w:r>
                    </w:p>
                    <w:p w14:paraId="39C43288">
                      <w:pPr>
                        <w:pStyle w:val="53"/>
                        <w:spacing w:before="120" w:after="240" w:line="240" w:lineRule="auto"/>
                        <w:rPr>
                          <w:color w:val="000000" w:themeColor="text1"/>
                          <w14:textFill>
                            <w14:solidFill>
                              <w14:schemeClr w14:val="tx1"/>
                            </w14:solidFill>
                          </w14:textFill>
                        </w:rPr>
                      </w:pPr>
                      <w:r>
                        <w:rPr>
                          <w:color w:val="000000" w:themeColor="text1"/>
                          <w:lang w:val="id-ID"/>
                          <w14:textFill>
                            <w14:solidFill>
                              <w14:schemeClr w14:val="tx1"/>
                            </w14:solidFill>
                          </w14:textFill>
                        </w:rPr>
                        <w:t>Figure</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2</w:t>
                      </w:r>
                      <w:r>
                        <w:rPr>
                          <w:color w:val="000000" w:themeColor="text1"/>
                          <w14:textFill>
                            <w14:solidFill>
                              <w14:schemeClr w14:val="tx1"/>
                            </w14:solidFill>
                          </w14:textFill>
                        </w:rPr>
                        <w:t>. Conceptual</w:t>
                      </w:r>
                      <w:r>
                        <w:rPr>
                          <w:rFonts w:hint="default"/>
                          <w:color w:val="000000" w:themeColor="text1"/>
                          <w:lang w:val="en-US"/>
                          <w14:textFill>
                            <w14:solidFill>
                              <w14:schemeClr w14:val="tx1"/>
                            </w14:solidFill>
                          </w14:textFill>
                        </w:rPr>
                        <w:t>S</w:t>
                      </w:r>
                      <w:r>
                        <w:rPr>
                          <w:color w:val="000000" w:themeColor="text1"/>
                          <w14:textFill>
                            <w14:solidFill>
                              <w14:schemeClr w14:val="tx1"/>
                            </w14:solidFill>
                          </w14:textFill>
                        </w:rPr>
                        <w:t>chematic of the</w:t>
                      </w:r>
                      <w:r>
                        <w:rPr>
                          <w:rFonts w:hint="default"/>
                          <w:color w:val="000000" w:themeColor="text1"/>
                          <w:lang w:val="en-US"/>
                          <w14:textFill>
                            <w14:solidFill>
                              <w14:schemeClr w14:val="tx1"/>
                            </w14:solidFill>
                          </w14:textFill>
                        </w:rPr>
                        <w:t xml:space="preserve"> E</w:t>
                      </w:r>
                      <w:r>
                        <w:rPr>
                          <w:color w:val="000000" w:themeColor="text1"/>
                          <w14:textFill>
                            <w14:solidFill>
                              <w14:schemeClr w14:val="tx1"/>
                            </w14:solidFill>
                          </w14:textFill>
                        </w:rPr>
                        <w:t xml:space="preserve">xperimental </w:t>
                      </w:r>
                      <w:r>
                        <w:rPr>
                          <w:rFonts w:hint="default"/>
                          <w:color w:val="000000" w:themeColor="text1"/>
                          <w:lang w:val="en-US"/>
                          <w14:textFill>
                            <w14:solidFill>
                              <w14:schemeClr w14:val="tx1"/>
                            </w14:solidFill>
                          </w14:textFill>
                        </w:rPr>
                        <w:t>S</w:t>
                      </w:r>
                      <w:r>
                        <w:rPr>
                          <w:color w:val="000000" w:themeColor="text1"/>
                          <w14:textFill>
                            <w14:solidFill>
                              <w14:schemeClr w14:val="tx1"/>
                            </w14:solidFill>
                          </w14:textFill>
                        </w:rPr>
                        <w:t xml:space="preserve">etup: (a)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ithout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(b)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ithout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at a </w:t>
                      </w:r>
                      <w:r>
                        <w:rPr>
                          <w:rFonts w:hint="default"/>
                          <w:color w:val="000000" w:themeColor="text1"/>
                          <w:lang w:val="en-US"/>
                          <w14:textFill>
                            <w14:solidFill>
                              <w14:schemeClr w14:val="tx1"/>
                            </w14:solidFill>
                          </w14:textFill>
                        </w:rPr>
                        <w:t>D</w:t>
                      </w:r>
                      <w:r>
                        <w:rPr>
                          <w:color w:val="000000" w:themeColor="text1"/>
                          <w14:textFill>
                            <w14:solidFill>
                              <w14:schemeClr w14:val="tx1"/>
                            </w14:solidFill>
                          </w14:textFill>
                        </w:rPr>
                        <w:t xml:space="preserve">istance, (c)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(d) </w:t>
                      </w:r>
                      <w:r>
                        <w:rPr>
                          <w:rFonts w:hint="default"/>
                          <w:color w:val="000000" w:themeColor="text1"/>
                          <w:lang w:val="en-US"/>
                          <w14:textFill>
                            <w14:solidFill>
                              <w14:schemeClr w14:val="tx1"/>
                            </w14:solidFill>
                          </w14:textFill>
                        </w:rPr>
                        <w:t>W</w:t>
                      </w:r>
                      <w:r>
                        <w:rPr>
                          <w:color w:val="000000" w:themeColor="text1"/>
                          <w14:textFill>
                            <w14:solidFill>
                              <w14:schemeClr w14:val="tx1"/>
                            </w14:solidFill>
                          </w14:textFill>
                        </w:rPr>
                        <w:t xml:space="preserve">ith </w:t>
                      </w:r>
                      <w:r>
                        <w:rPr>
                          <w:rFonts w:hint="default"/>
                          <w:color w:val="000000" w:themeColor="text1"/>
                          <w:lang w:val="en-US"/>
                          <w14:textFill>
                            <w14:solidFill>
                              <w14:schemeClr w14:val="tx1"/>
                            </w14:solidFill>
                          </w14:textFill>
                        </w:rPr>
                        <w:t>P</w:t>
                      </w:r>
                      <w:r>
                        <w:rPr>
                          <w:color w:val="000000" w:themeColor="text1"/>
                          <w14:textFill>
                            <w14:solidFill>
                              <w14:schemeClr w14:val="tx1"/>
                            </w14:solidFill>
                          </w14:textFill>
                        </w:rPr>
                        <w:t xml:space="preserve">hantom and TSL </w:t>
                      </w:r>
                      <w:r>
                        <w:rPr>
                          <w:rFonts w:hint="default"/>
                          <w:color w:val="000000" w:themeColor="text1"/>
                          <w:lang w:val="en-US"/>
                          <w14:textFill>
                            <w14:solidFill>
                              <w14:schemeClr w14:val="tx1"/>
                            </w14:solidFill>
                          </w14:textFill>
                        </w:rPr>
                        <w:t>S</w:t>
                      </w:r>
                      <w:r>
                        <w:rPr>
                          <w:color w:val="000000" w:themeColor="text1"/>
                          <w14:textFill>
                            <w14:solidFill>
                              <w14:schemeClr w14:val="tx1"/>
                            </w14:solidFill>
                          </w14:textFill>
                        </w:rPr>
                        <w:t>aline.</w:t>
                      </w:r>
                    </w:p>
                    <w:p w14:paraId="3BD72AF0">
                      <w:pPr>
                        <w:jc w:val="center"/>
                      </w:pPr>
                    </w:p>
                  </w:txbxContent>
                </v:textbox>
                <w10:wrap type="topAndBottom"/>
              </v:rect>
            </w:pict>
          </mc:Fallback>
        </mc:AlternateContent>
      </w:r>
      <w:r>
        <w:rPr>
          <w:color w:val="000000" w:themeColor="text1"/>
          <w14:textFill>
            <w14:solidFill>
              <w14:schemeClr w14:val="tx1"/>
            </w14:solidFill>
          </w14:textFill>
        </w:rPr>
        <w:t xml:space="preserve">Measurements were conducted across four primary configurations, as illustrated in Figure </w:t>
      </w:r>
      <w:r>
        <w:rPr>
          <w:rFonts w:hint="default"/>
          <w:color w:val="000000" w:themeColor="text1"/>
          <w:lang w:val="en-US"/>
          <w14:textFill>
            <w14:solidFill>
              <w14:schemeClr w14:val="tx1"/>
            </w14:solidFill>
          </w14:textFill>
        </w:rPr>
        <w:t>2</w:t>
      </w:r>
      <w:r>
        <w:rPr>
          <w:color w:val="000000" w:themeColor="text1"/>
          <w14:textFill>
            <w14:solidFill>
              <w14:schemeClr w14:val="tx1"/>
            </w14:solidFill>
          </w14:textFill>
        </w:rPr>
        <w:t>: (a) baseline measurements at close contact (1-2 mm) without the phantom, (b) measurements at a 15 cm distance to quantify spatial attenuation, (c) measurements with the empty PETG phantom to isolate the shell's effect, and (d) measurements with the phantom filled with the saline TSL to evaluate the combined effect. During all measurements, the probe's position and angular orientation were systematically varied (0°, 30°, 45°, 60°, and 90°) to map the field distribution comprehensively. In this case,  the probe-to-surface distance was consistently maintained at 1-2 mm to ensure accurate near-field assessment.</w:t>
      </w:r>
    </w:p>
    <w:p w14:paraId="0B99B85E">
      <w:r>
        <w:t>Each data point reported in the results represents the mean of eight repeated measurements, ensuring (statistical) reliability. The consistently low standard deviation across all measurements indicates a high degree of precision and reproducibility in the experimental procedure. Furthermore, the methodological limitation of the simple saline TSL must be acknowledged: while it accurately mimics the conductivity necessary to study eddy-current-induced magnetic field attenuation, its elevated permittivity differs from that of brain tissue. Accordingly, the study specifically focuses on the magnetic field attenuation mechanism, and its results may not fully replicate the interaction of the total electromagnetic wave with a human head.</w:t>
      </w:r>
    </w:p>
    <w:p w14:paraId="664A78FB">
      <w:pPr>
        <w:pStyle w:val="3"/>
      </w:pPr>
      <w:r>
        <w:t>Data Analysis and Statistical Treatment</w:t>
      </w:r>
    </w:p>
    <w:p w14:paraId="1D4EBA0B">
      <w:pPr>
        <w:rPr>
          <w:lang w:eastAsia="zh-CN"/>
        </w:rPr>
      </w:pPr>
      <w:r>
        <w:rPr>
          <w:lang w:eastAsia="zh-CN"/>
        </w:rPr>
        <w:t>For each measurement configuration, eight repeated trials were conducted to ensure the reliability and stability of the results. The values presented in this paper represent the mean of these trials. The consistently low standard deviation observed across all measurements, as detailed in the original dataset, indicates a high degree of precision and reproducibility in the experimental setup. This methodological rigor minimizes the impact of random errors and enhances the validity of the findings.</w:t>
      </w:r>
    </w:p>
    <w:p w14:paraId="33880915">
      <w:pPr>
        <w:pStyle w:val="2"/>
        <w:rPr>
          <w:color w:val="FF0000"/>
        </w:rPr>
      </w:pPr>
      <w:r>
        <w:rPr>
          <w:lang w:val="en-US"/>
        </w:rPr>
        <w:t>Results and Discussion</w:t>
      </w:r>
    </w:p>
    <w:p w14:paraId="04D1351D">
      <w:pPr>
        <w:rPr>
          <w:color w:val="000000" w:themeColor="text1"/>
          <w14:textFill>
            <w14:solidFill>
              <w14:schemeClr w14:val="tx1"/>
            </w14:solidFill>
          </w14:textFill>
        </w:rPr>
      </w:pPr>
      <w:r>
        <w:rPr>
          <w:color w:val="000000" w:themeColor="text1"/>
          <w14:textFill>
            <w14:solidFill>
              <w14:schemeClr w14:val="tx1"/>
            </w14:solidFill>
          </w14:textFill>
        </w:rPr>
        <w:t>This section presents the measurement results and offers an in-depth analysis, integrating data presentation with physical interpretation and its implications for device design and safety standards</w:t>
      </w:r>
      <w:r>
        <w:rPr>
          <w:color w:val="000000" w:themeColor="text1"/>
          <w:lang w:val="en-US"/>
          <w14:textFill>
            <w14:solidFill>
              <w14:schemeClr w14:val="tx1"/>
            </w14:solidFill>
          </w14:textFill>
        </w:rPr>
        <w:t>.</w:t>
      </w:r>
    </w:p>
    <w:p w14:paraId="68EF3BC6">
      <w:pPr>
        <w:pStyle w:val="3"/>
        <w:numPr>
          <w:ilvl w:val="0"/>
          <w:numId w:val="9"/>
        </w:numPr>
        <w:rPr>
          <w:rStyle w:val="38"/>
          <w:color w:val="000000" w:themeColor="text1"/>
          <w14:textFill>
            <w14:solidFill>
              <w14:schemeClr w14:val="tx1"/>
            </w14:solidFill>
          </w14:textFill>
        </w:rPr>
      </w:pPr>
      <w:r>
        <w:rPr>
          <w:color w:val="000000" w:themeColor="text1"/>
          <w14:textFill>
            <w14:solidFill>
              <w14:schemeClr w14:val="tx1"/>
            </w14:solidFill>
          </w14:textFill>
        </w:rPr>
        <w:t>Hardware Design Reflected in the ELF Emission "Fingerprint"</w:t>
      </w:r>
    </w:p>
    <w:p w14:paraId="4497BE2C">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Baseline measurements at close contact revealed significant differences in the emission profiles between the two devices. The Xiaomi Redmi Note 8 Pro exhibited a peak magnetic field intensity of 0.799 mT, whereas the Samsung Galaxy S23 registered a substantially lower peak value of 0.269 mT—a nearly threefold difference. The full spatial distribution of these baseline emissions is detailed in Table 1.</w:t>
      </w:r>
    </w:p>
    <w:p w14:paraId="35F07FCE">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This disparity extended beyond magnitude to spatial distribution; the Xiaomi device demonstrated a highly concentrated hotspot in one area (at the center position), whereas the Samsung device displayed more evenly distributed emissions. This difference in emission 'fingerprints' is clearly visualized in Figure 3. The spatial distribution is visualized in the heatmaps of Figure 3, providing compelling visual confirmation of </w:t>
      </w:r>
      <w:r>
        <w:rPr>
          <w:sz w:val="20"/>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-22860</wp:posOffset>
                </wp:positionV>
                <wp:extent cx="2929255" cy="7194550"/>
                <wp:effectExtent l="0" t="0" r="0" b="0"/>
                <wp:wrapTopAndBottom/>
                <wp:docPr id="14" name="Rectangles 14"/>
                <wp:cNvGraphicFramePr/>
                <a:graphic xmlns:a="http://schemas.openxmlformats.org/drawingml/2006/main">
                  <a:graphicData uri="http://schemas.microsoft.com/office/word/2010/wordprocessingShape">
                    <wps:wsp>
                      <wps:cNvSpPr/>
                      <wps:spPr>
                        <a:xfrm>
                          <a:off x="897255" y="725805"/>
                          <a:ext cx="2929255" cy="71945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D4EF6F3">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Tabl</w:t>
                            </w:r>
                            <w:r>
                              <w:rPr>
                                <w:rFonts w:eastAsia="PMingLiU"/>
                                <w:color w:val="000000" w:themeColor="text1"/>
                                <w:lang w:val="en-US"/>
                                <w14:textFill>
                                  <w14:solidFill>
                                    <w14:schemeClr w14:val="tx1"/>
                                  </w14:solidFill>
                                </w14:textFill>
                              </w:rPr>
                              <w:t>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1</w:t>
                            </w:r>
                          </w:p>
                          <w:p w14:paraId="3AFF22D6">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Baseline Near-Field Magnetic Field Intensity (mT) at Close Contact</w:t>
                            </w:r>
                          </w:p>
                          <w:tbl>
                            <w:tblPr>
                              <w:tblStyle w:val="8"/>
                              <w:tblW w:w="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92"/>
                              <w:gridCol w:w="1152"/>
                              <w:gridCol w:w="1129"/>
                            </w:tblGrid>
                            <w:tr w14:paraId="1B66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tcPr>
                                <w:p w14:paraId="08D247E0">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Phone Model</w:t>
                                  </w:r>
                                </w:p>
                              </w:tc>
                              <w:tc>
                                <w:tcPr>
                                  <w:tcW w:w="1092" w:type="dxa"/>
                                </w:tcPr>
                                <w:p w14:paraId="653A8E24">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Position</w:t>
                                  </w:r>
                                </w:p>
                              </w:tc>
                              <w:tc>
                                <w:tcPr>
                                  <w:tcW w:w="1152" w:type="dxa"/>
                                </w:tcPr>
                                <w:p w14:paraId="7D526831">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Angle</w:t>
                                  </w:r>
                                </w:p>
                              </w:tc>
                              <w:tc>
                                <w:tcPr>
                                  <w:tcW w:w="1129" w:type="dxa"/>
                                </w:tcPr>
                                <w:p w14:paraId="4C0A0379">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B-Field (mT)</w:t>
                                  </w:r>
                                </w:p>
                              </w:tc>
                            </w:tr>
                            <w:tr w14:paraId="2EC2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restart"/>
                                  <w:vAlign w:val="center"/>
                                </w:tcPr>
                                <w:p w14:paraId="4614948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Xiaomi Redmi Note 8 Pro</w:t>
                                  </w:r>
                                </w:p>
                              </w:tc>
                              <w:tc>
                                <w:tcPr>
                                  <w:tcW w:w="1092" w:type="dxa"/>
                                  <w:vMerge w:val="restart"/>
                                  <w:vAlign w:val="center"/>
                                </w:tcPr>
                                <w:p w14:paraId="73783DE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1152" w:type="dxa"/>
                                  <w:vAlign w:val="center"/>
                                </w:tcPr>
                                <w:p w14:paraId="7D7F85D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395296A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0.406</w:t>
                                  </w:r>
                                </w:p>
                              </w:tc>
                            </w:tr>
                            <w:tr w14:paraId="23B4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24EB7CAA">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79797C80">
                                  <w:pPr>
                                    <w:ind w:firstLine="0"/>
                                    <w:jc w:val="center"/>
                                    <w:rPr>
                                      <w:color w:val="000000" w:themeColor="text1"/>
                                      <w:sz w:val="16"/>
                                      <w:szCs w:val="16"/>
                                      <w:lang w:val="en-US"/>
                                      <w14:textFill>
                                        <w14:solidFill>
                                          <w14:schemeClr w14:val="tx1"/>
                                        </w14:solidFill>
                                      </w14:textFill>
                                    </w:rPr>
                                  </w:pPr>
                                </w:p>
                              </w:tc>
                              <w:tc>
                                <w:tcPr>
                                  <w:tcW w:w="1152" w:type="dxa"/>
                                  <w:vAlign w:val="center"/>
                                </w:tcPr>
                                <w:p w14:paraId="6A7A19A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265626B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0.278</w:t>
                                  </w:r>
                                </w:p>
                              </w:tc>
                            </w:tr>
                            <w:tr w14:paraId="3EE8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63C1E27B">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00BE0E6C">
                                  <w:pPr>
                                    <w:ind w:firstLine="0"/>
                                    <w:jc w:val="center"/>
                                    <w:rPr>
                                      <w:color w:val="000000" w:themeColor="text1"/>
                                      <w:sz w:val="16"/>
                                      <w:szCs w:val="16"/>
                                      <w:lang w:val="en-US"/>
                                      <w14:textFill>
                                        <w14:solidFill>
                                          <w14:schemeClr w14:val="tx1"/>
                                        </w14:solidFill>
                                      </w14:textFill>
                                    </w:rPr>
                                  </w:pPr>
                                </w:p>
                              </w:tc>
                              <w:tc>
                                <w:tcPr>
                                  <w:tcW w:w="1152" w:type="dxa"/>
                                  <w:vAlign w:val="center"/>
                                </w:tcPr>
                                <w:p w14:paraId="1B8FE86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2D851F7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0.316</w:t>
                                  </w:r>
                                </w:p>
                              </w:tc>
                            </w:tr>
                            <w:tr w14:paraId="7D07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34872A46">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476D67FA">
                                  <w:pPr>
                                    <w:ind w:firstLine="0"/>
                                    <w:jc w:val="center"/>
                                    <w:rPr>
                                      <w:color w:val="000000" w:themeColor="text1"/>
                                      <w:sz w:val="16"/>
                                      <w:szCs w:val="16"/>
                                      <w:lang w:val="en-US"/>
                                      <w14:textFill>
                                        <w14:solidFill>
                                          <w14:schemeClr w14:val="tx1"/>
                                        </w14:solidFill>
                                      </w14:textFill>
                                    </w:rPr>
                                  </w:pPr>
                                </w:p>
                              </w:tc>
                              <w:tc>
                                <w:tcPr>
                                  <w:tcW w:w="1152" w:type="dxa"/>
                                  <w:vAlign w:val="center"/>
                                </w:tcPr>
                                <w:p w14:paraId="5D95FD6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2CF46F8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0.404</w:t>
                                  </w:r>
                                </w:p>
                              </w:tc>
                            </w:tr>
                            <w:tr w14:paraId="6657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3B21C589">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635A6D9E">
                                  <w:pPr>
                                    <w:ind w:firstLine="0"/>
                                    <w:jc w:val="center"/>
                                    <w:rPr>
                                      <w:color w:val="000000" w:themeColor="text1"/>
                                      <w:sz w:val="16"/>
                                      <w:szCs w:val="16"/>
                                      <w:lang w:val="en-US"/>
                                      <w14:textFill>
                                        <w14:solidFill>
                                          <w14:schemeClr w14:val="tx1"/>
                                        </w14:solidFill>
                                      </w14:textFill>
                                    </w:rPr>
                                  </w:pPr>
                                </w:p>
                              </w:tc>
                              <w:tc>
                                <w:tcPr>
                                  <w:tcW w:w="1152" w:type="dxa"/>
                                  <w:vAlign w:val="center"/>
                                </w:tcPr>
                                <w:p w14:paraId="7F87E0A9">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4AE2689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0.799</w:t>
                                  </w:r>
                                </w:p>
                              </w:tc>
                            </w:tr>
                            <w:tr w14:paraId="57E4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5A61309F">
                                  <w:pPr>
                                    <w:ind w:firstLine="0"/>
                                    <w:jc w:val="center"/>
                                    <w:rPr>
                                      <w:color w:val="000000" w:themeColor="text1"/>
                                      <w:sz w:val="16"/>
                                      <w:szCs w:val="16"/>
                                      <w:lang w:val="en-US"/>
                                      <w14:textFill>
                                        <w14:solidFill>
                                          <w14:schemeClr w14:val="tx1"/>
                                        </w14:solidFill>
                                      </w14:textFill>
                                    </w:rPr>
                                  </w:pPr>
                                </w:p>
                              </w:tc>
                              <w:tc>
                                <w:tcPr>
                                  <w:tcW w:w="1092" w:type="dxa"/>
                                  <w:vMerge w:val="restart"/>
                                  <w:vAlign w:val="center"/>
                                </w:tcPr>
                                <w:p w14:paraId="678DCAC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Right</w:t>
                                  </w:r>
                                </w:p>
                              </w:tc>
                              <w:tc>
                                <w:tcPr>
                                  <w:tcW w:w="1152" w:type="dxa"/>
                                  <w:vAlign w:val="center"/>
                                </w:tcPr>
                                <w:p w14:paraId="100A855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6D9EFB5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0.209</w:t>
                                  </w:r>
                                </w:p>
                              </w:tc>
                            </w:tr>
                            <w:tr w14:paraId="5E23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1DA6BE29">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618C1089">
                                  <w:pPr>
                                    <w:ind w:firstLine="0"/>
                                    <w:jc w:val="center"/>
                                    <w:rPr>
                                      <w:color w:val="000000" w:themeColor="text1"/>
                                      <w:sz w:val="16"/>
                                      <w:szCs w:val="16"/>
                                      <w:lang w:val="en-US"/>
                                      <w14:textFill>
                                        <w14:solidFill>
                                          <w14:schemeClr w14:val="tx1"/>
                                        </w14:solidFill>
                                      </w14:textFill>
                                    </w:rPr>
                                  </w:pPr>
                                </w:p>
                              </w:tc>
                              <w:tc>
                                <w:tcPr>
                                  <w:tcW w:w="1152" w:type="dxa"/>
                                  <w:vAlign w:val="center"/>
                                </w:tcPr>
                                <w:p w14:paraId="07002DC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70D0355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0.218</w:t>
                                  </w:r>
                                </w:p>
                              </w:tc>
                            </w:tr>
                            <w:tr w14:paraId="58B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07E2E042">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63E41E34">
                                  <w:pPr>
                                    <w:ind w:firstLine="0"/>
                                    <w:jc w:val="center"/>
                                    <w:rPr>
                                      <w:color w:val="000000" w:themeColor="text1"/>
                                      <w:sz w:val="16"/>
                                      <w:szCs w:val="16"/>
                                      <w:lang w:val="en-US"/>
                                      <w14:textFill>
                                        <w14:solidFill>
                                          <w14:schemeClr w14:val="tx1"/>
                                        </w14:solidFill>
                                      </w14:textFill>
                                    </w:rPr>
                                  </w:pPr>
                                </w:p>
                              </w:tc>
                              <w:tc>
                                <w:tcPr>
                                  <w:tcW w:w="1152" w:type="dxa"/>
                                  <w:vAlign w:val="center"/>
                                </w:tcPr>
                                <w:p w14:paraId="30748BA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534597F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0.290</w:t>
                                  </w:r>
                                </w:p>
                              </w:tc>
                            </w:tr>
                            <w:tr w14:paraId="3E69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5125B82B">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185F6D93">
                                  <w:pPr>
                                    <w:ind w:firstLine="0"/>
                                    <w:jc w:val="center"/>
                                    <w:rPr>
                                      <w:color w:val="000000" w:themeColor="text1"/>
                                      <w:sz w:val="16"/>
                                      <w:szCs w:val="16"/>
                                      <w:lang w:val="en-US"/>
                                      <w14:textFill>
                                        <w14:solidFill>
                                          <w14:schemeClr w14:val="tx1"/>
                                        </w14:solidFill>
                                      </w14:textFill>
                                    </w:rPr>
                                  </w:pPr>
                                </w:p>
                              </w:tc>
                              <w:tc>
                                <w:tcPr>
                                  <w:tcW w:w="1152" w:type="dxa"/>
                                  <w:vAlign w:val="center"/>
                                </w:tcPr>
                                <w:p w14:paraId="240B4FF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7C5DE4A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0.049</w:t>
                                  </w:r>
                                </w:p>
                              </w:tc>
                            </w:tr>
                            <w:tr w14:paraId="5ACC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D2E74BB">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3E8B3167">
                                  <w:pPr>
                                    <w:ind w:firstLine="0"/>
                                    <w:jc w:val="center"/>
                                    <w:rPr>
                                      <w:color w:val="000000" w:themeColor="text1"/>
                                      <w:sz w:val="16"/>
                                      <w:szCs w:val="16"/>
                                      <w:lang w:val="en-US"/>
                                      <w14:textFill>
                                        <w14:solidFill>
                                          <w14:schemeClr w14:val="tx1"/>
                                        </w14:solidFill>
                                      </w14:textFill>
                                    </w:rPr>
                                  </w:pPr>
                                </w:p>
                              </w:tc>
                              <w:tc>
                                <w:tcPr>
                                  <w:tcW w:w="1152" w:type="dxa"/>
                                  <w:vAlign w:val="center"/>
                                </w:tcPr>
                                <w:p w14:paraId="59601DD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1144A26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0.105</w:t>
                                  </w:r>
                                </w:p>
                              </w:tc>
                            </w:tr>
                            <w:tr w14:paraId="4A80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60A45140">
                                  <w:pPr>
                                    <w:ind w:firstLine="0"/>
                                    <w:jc w:val="center"/>
                                    <w:rPr>
                                      <w:color w:val="000000" w:themeColor="text1"/>
                                      <w:sz w:val="16"/>
                                      <w:szCs w:val="16"/>
                                      <w:lang w:val="en-US"/>
                                      <w14:textFill>
                                        <w14:solidFill>
                                          <w14:schemeClr w14:val="tx1"/>
                                        </w14:solidFill>
                                      </w14:textFill>
                                    </w:rPr>
                                  </w:pPr>
                                </w:p>
                              </w:tc>
                              <w:tc>
                                <w:tcPr>
                                  <w:tcW w:w="1092" w:type="dxa"/>
                                  <w:vMerge w:val="restart"/>
                                  <w:vAlign w:val="center"/>
                                </w:tcPr>
                                <w:p w14:paraId="1953A5E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1152" w:type="dxa"/>
                                  <w:vAlign w:val="center"/>
                                </w:tcPr>
                                <w:p w14:paraId="3CFAF19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6E3ECD3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0.410</w:t>
                                  </w:r>
                                </w:p>
                              </w:tc>
                            </w:tr>
                            <w:tr w14:paraId="71FA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73B4421">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4AF12F77">
                                  <w:pPr>
                                    <w:ind w:firstLine="0"/>
                                    <w:jc w:val="center"/>
                                    <w:rPr>
                                      <w:color w:val="000000" w:themeColor="text1"/>
                                      <w:sz w:val="16"/>
                                      <w:szCs w:val="16"/>
                                      <w:lang w:val="en-US"/>
                                      <w14:textFill>
                                        <w14:solidFill>
                                          <w14:schemeClr w14:val="tx1"/>
                                        </w14:solidFill>
                                      </w14:textFill>
                                    </w:rPr>
                                  </w:pPr>
                                </w:p>
                              </w:tc>
                              <w:tc>
                                <w:tcPr>
                                  <w:tcW w:w="1152" w:type="dxa"/>
                                  <w:vAlign w:val="center"/>
                                </w:tcPr>
                                <w:p w14:paraId="642D6A7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16421EE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0.444</w:t>
                                  </w:r>
                                </w:p>
                              </w:tc>
                            </w:tr>
                            <w:tr w14:paraId="65B9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FD47F8C">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10BA9ABB">
                                  <w:pPr>
                                    <w:ind w:firstLine="0"/>
                                    <w:jc w:val="center"/>
                                    <w:rPr>
                                      <w:color w:val="000000" w:themeColor="text1"/>
                                      <w:sz w:val="16"/>
                                      <w:szCs w:val="16"/>
                                      <w:lang w:val="en-US"/>
                                      <w14:textFill>
                                        <w14:solidFill>
                                          <w14:schemeClr w14:val="tx1"/>
                                        </w14:solidFill>
                                      </w14:textFill>
                                    </w:rPr>
                                  </w:pPr>
                                </w:p>
                              </w:tc>
                              <w:tc>
                                <w:tcPr>
                                  <w:tcW w:w="1152" w:type="dxa"/>
                                  <w:vAlign w:val="center"/>
                                </w:tcPr>
                                <w:p w14:paraId="0FA25089">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0D3B636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0.575</w:t>
                                  </w:r>
                                </w:p>
                              </w:tc>
                            </w:tr>
                            <w:tr w14:paraId="5973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4E10CEC3">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3D4600BD">
                                  <w:pPr>
                                    <w:ind w:firstLine="0"/>
                                    <w:jc w:val="center"/>
                                    <w:rPr>
                                      <w:color w:val="000000" w:themeColor="text1"/>
                                      <w:sz w:val="16"/>
                                      <w:szCs w:val="16"/>
                                      <w:lang w:val="en-US"/>
                                      <w14:textFill>
                                        <w14:solidFill>
                                          <w14:schemeClr w14:val="tx1"/>
                                        </w14:solidFill>
                                      </w14:textFill>
                                    </w:rPr>
                                  </w:pPr>
                                </w:p>
                              </w:tc>
                              <w:tc>
                                <w:tcPr>
                                  <w:tcW w:w="1152" w:type="dxa"/>
                                  <w:vAlign w:val="center"/>
                                </w:tcPr>
                                <w:p w14:paraId="72FE250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44A7CA5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0.366</w:t>
                                  </w:r>
                                </w:p>
                              </w:tc>
                            </w:tr>
                            <w:tr w14:paraId="668A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8A636B7">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7BF0D2CA">
                                  <w:pPr>
                                    <w:ind w:firstLine="0"/>
                                    <w:jc w:val="center"/>
                                    <w:rPr>
                                      <w:color w:val="000000" w:themeColor="text1"/>
                                      <w:sz w:val="16"/>
                                      <w:szCs w:val="16"/>
                                      <w:lang w:val="en-US"/>
                                      <w14:textFill>
                                        <w14:solidFill>
                                          <w14:schemeClr w14:val="tx1"/>
                                        </w14:solidFill>
                                      </w14:textFill>
                                    </w:rPr>
                                  </w:pPr>
                                </w:p>
                              </w:tc>
                              <w:tc>
                                <w:tcPr>
                                  <w:tcW w:w="1152" w:type="dxa"/>
                                  <w:vAlign w:val="center"/>
                                </w:tcPr>
                                <w:p w14:paraId="45DBAC7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56AD93E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0.184</w:t>
                                  </w:r>
                                </w:p>
                              </w:tc>
                            </w:tr>
                            <w:tr w14:paraId="01F2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restart"/>
                                  <w:vAlign w:val="center"/>
                                </w:tcPr>
                                <w:p w14:paraId="2288FED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Samsung Galaxy S23</w:t>
                                  </w:r>
                                </w:p>
                              </w:tc>
                              <w:tc>
                                <w:tcPr>
                                  <w:tcW w:w="1092" w:type="dxa"/>
                                  <w:vMerge w:val="restart"/>
                                  <w:vAlign w:val="center"/>
                                </w:tcPr>
                                <w:p w14:paraId="7312B25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1152" w:type="dxa"/>
                                  <w:vAlign w:val="center"/>
                                </w:tcPr>
                                <w:p w14:paraId="65E5B26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1F6AF50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0.183</w:t>
                                  </w:r>
                                </w:p>
                              </w:tc>
                            </w:tr>
                            <w:tr w14:paraId="1E9E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1FBF5EB1">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B0D5C63">
                                  <w:pPr>
                                    <w:ind w:firstLine="0"/>
                                    <w:jc w:val="center"/>
                                    <w:rPr>
                                      <w:color w:val="000000" w:themeColor="text1"/>
                                      <w:sz w:val="16"/>
                                      <w:szCs w:val="16"/>
                                      <w:lang w:val="en-US"/>
                                      <w14:textFill>
                                        <w14:solidFill>
                                          <w14:schemeClr w14:val="tx1"/>
                                        </w14:solidFill>
                                      </w14:textFill>
                                    </w:rPr>
                                  </w:pPr>
                                </w:p>
                              </w:tc>
                              <w:tc>
                                <w:tcPr>
                                  <w:tcW w:w="1152" w:type="dxa"/>
                                  <w:vAlign w:val="center"/>
                                </w:tcPr>
                                <w:p w14:paraId="18413CA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4542E5F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0.233</w:t>
                                  </w:r>
                                </w:p>
                              </w:tc>
                            </w:tr>
                            <w:tr w14:paraId="559A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AF02C56">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3CB5EC52">
                                  <w:pPr>
                                    <w:ind w:firstLine="0"/>
                                    <w:jc w:val="center"/>
                                    <w:rPr>
                                      <w:color w:val="000000" w:themeColor="text1"/>
                                      <w:sz w:val="16"/>
                                      <w:szCs w:val="16"/>
                                      <w:lang w:val="en-US"/>
                                      <w14:textFill>
                                        <w14:solidFill>
                                          <w14:schemeClr w14:val="tx1"/>
                                        </w14:solidFill>
                                      </w14:textFill>
                                    </w:rPr>
                                  </w:pPr>
                                </w:p>
                              </w:tc>
                              <w:tc>
                                <w:tcPr>
                                  <w:tcW w:w="1152" w:type="dxa"/>
                                  <w:vAlign w:val="center"/>
                                </w:tcPr>
                                <w:p w14:paraId="7F03CDB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6DC1EB1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0.259</w:t>
                                  </w:r>
                                </w:p>
                              </w:tc>
                            </w:tr>
                            <w:tr w14:paraId="19DE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25300E1D">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995EFED">
                                  <w:pPr>
                                    <w:ind w:firstLine="0"/>
                                    <w:jc w:val="center"/>
                                    <w:rPr>
                                      <w:color w:val="000000" w:themeColor="text1"/>
                                      <w:sz w:val="16"/>
                                      <w:szCs w:val="16"/>
                                      <w:lang w:val="en-US"/>
                                      <w14:textFill>
                                        <w14:solidFill>
                                          <w14:schemeClr w14:val="tx1"/>
                                        </w14:solidFill>
                                      </w14:textFill>
                                    </w:rPr>
                                  </w:pPr>
                                </w:p>
                              </w:tc>
                              <w:tc>
                                <w:tcPr>
                                  <w:tcW w:w="1152" w:type="dxa"/>
                                  <w:vAlign w:val="center"/>
                                </w:tcPr>
                                <w:p w14:paraId="28B2F4D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49AAAB9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0.221</w:t>
                                  </w:r>
                                </w:p>
                              </w:tc>
                            </w:tr>
                            <w:tr w14:paraId="0987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469DF57A">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09EACA84">
                                  <w:pPr>
                                    <w:ind w:firstLine="0"/>
                                    <w:jc w:val="center"/>
                                    <w:rPr>
                                      <w:color w:val="000000" w:themeColor="text1"/>
                                      <w:sz w:val="16"/>
                                      <w:szCs w:val="16"/>
                                      <w:lang w:val="en-US"/>
                                      <w14:textFill>
                                        <w14:solidFill>
                                          <w14:schemeClr w14:val="tx1"/>
                                        </w14:solidFill>
                                      </w14:textFill>
                                    </w:rPr>
                                  </w:pPr>
                                </w:p>
                              </w:tc>
                              <w:tc>
                                <w:tcPr>
                                  <w:tcW w:w="1152" w:type="dxa"/>
                                  <w:vAlign w:val="center"/>
                                </w:tcPr>
                                <w:p w14:paraId="73F56F0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0ED0377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0.241</w:t>
                                  </w:r>
                                </w:p>
                              </w:tc>
                            </w:tr>
                            <w:tr w14:paraId="4C1F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04AE4591">
                                  <w:pPr>
                                    <w:ind w:firstLine="0"/>
                                    <w:jc w:val="left"/>
                                    <w:rPr>
                                      <w:color w:val="000000" w:themeColor="text1"/>
                                      <w:sz w:val="16"/>
                                      <w:szCs w:val="16"/>
                                      <w:lang w:val="en-US"/>
                                      <w14:textFill>
                                        <w14:solidFill>
                                          <w14:schemeClr w14:val="tx1"/>
                                        </w14:solidFill>
                                      </w14:textFill>
                                    </w:rPr>
                                  </w:pPr>
                                </w:p>
                              </w:tc>
                              <w:tc>
                                <w:tcPr>
                                  <w:tcW w:w="1092" w:type="dxa"/>
                                  <w:vMerge w:val="restart"/>
                                  <w:vAlign w:val="center"/>
                                </w:tcPr>
                                <w:p w14:paraId="65B0D53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Right</w:t>
                                  </w:r>
                                </w:p>
                              </w:tc>
                              <w:tc>
                                <w:tcPr>
                                  <w:tcW w:w="1152" w:type="dxa"/>
                                  <w:vAlign w:val="center"/>
                                </w:tcPr>
                                <w:p w14:paraId="0C88C04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5FE371C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0.176</w:t>
                                  </w:r>
                                </w:p>
                              </w:tc>
                            </w:tr>
                            <w:tr w14:paraId="1483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9E987BD">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7915CDA">
                                  <w:pPr>
                                    <w:ind w:firstLine="0"/>
                                    <w:jc w:val="center"/>
                                    <w:rPr>
                                      <w:color w:val="000000" w:themeColor="text1"/>
                                      <w:sz w:val="16"/>
                                      <w:szCs w:val="16"/>
                                      <w:lang w:val="en-US"/>
                                      <w14:textFill>
                                        <w14:solidFill>
                                          <w14:schemeClr w14:val="tx1"/>
                                        </w14:solidFill>
                                      </w14:textFill>
                                    </w:rPr>
                                  </w:pPr>
                                </w:p>
                              </w:tc>
                              <w:tc>
                                <w:tcPr>
                                  <w:tcW w:w="1152" w:type="dxa"/>
                                  <w:vAlign w:val="center"/>
                                </w:tcPr>
                                <w:p w14:paraId="4A52A5A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4940B6A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0.223</w:t>
                                  </w:r>
                                </w:p>
                              </w:tc>
                            </w:tr>
                            <w:tr w14:paraId="09D0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AE124DE">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235989F2">
                                  <w:pPr>
                                    <w:ind w:firstLine="0"/>
                                    <w:jc w:val="center"/>
                                    <w:rPr>
                                      <w:color w:val="000000" w:themeColor="text1"/>
                                      <w:sz w:val="16"/>
                                      <w:szCs w:val="16"/>
                                      <w:lang w:val="en-US"/>
                                      <w14:textFill>
                                        <w14:solidFill>
                                          <w14:schemeClr w14:val="tx1"/>
                                        </w14:solidFill>
                                      </w14:textFill>
                                    </w:rPr>
                                  </w:pPr>
                                </w:p>
                              </w:tc>
                              <w:tc>
                                <w:tcPr>
                                  <w:tcW w:w="1152" w:type="dxa"/>
                                  <w:vAlign w:val="center"/>
                                </w:tcPr>
                                <w:p w14:paraId="7765AFA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147882E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0.206</w:t>
                                  </w:r>
                                </w:p>
                              </w:tc>
                            </w:tr>
                            <w:tr w14:paraId="3B78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7523CDF6">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E69588D">
                                  <w:pPr>
                                    <w:ind w:firstLine="0"/>
                                    <w:jc w:val="center"/>
                                    <w:rPr>
                                      <w:color w:val="000000" w:themeColor="text1"/>
                                      <w:sz w:val="16"/>
                                      <w:szCs w:val="16"/>
                                      <w:lang w:val="en-US"/>
                                      <w14:textFill>
                                        <w14:solidFill>
                                          <w14:schemeClr w14:val="tx1"/>
                                        </w14:solidFill>
                                      </w14:textFill>
                                    </w:rPr>
                                  </w:pPr>
                                </w:p>
                              </w:tc>
                              <w:tc>
                                <w:tcPr>
                                  <w:tcW w:w="1152" w:type="dxa"/>
                                  <w:vAlign w:val="center"/>
                                </w:tcPr>
                                <w:p w14:paraId="049958B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1227F37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0.236</w:t>
                                  </w:r>
                                </w:p>
                              </w:tc>
                            </w:tr>
                            <w:tr w14:paraId="5667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5722DD85">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33C97473">
                                  <w:pPr>
                                    <w:ind w:firstLine="0"/>
                                    <w:jc w:val="center"/>
                                    <w:rPr>
                                      <w:color w:val="000000" w:themeColor="text1"/>
                                      <w:sz w:val="16"/>
                                      <w:szCs w:val="16"/>
                                      <w:lang w:val="en-US"/>
                                      <w14:textFill>
                                        <w14:solidFill>
                                          <w14:schemeClr w14:val="tx1"/>
                                        </w14:solidFill>
                                      </w14:textFill>
                                    </w:rPr>
                                  </w:pPr>
                                </w:p>
                              </w:tc>
                              <w:tc>
                                <w:tcPr>
                                  <w:tcW w:w="1152" w:type="dxa"/>
                                  <w:vAlign w:val="center"/>
                                </w:tcPr>
                                <w:p w14:paraId="5ECF0DB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3BD852B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0.268</w:t>
                                  </w:r>
                                </w:p>
                              </w:tc>
                            </w:tr>
                            <w:tr w14:paraId="5AF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7810A626">
                                  <w:pPr>
                                    <w:ind w:firstLine="0"/>
                                    <w:jc w:val="left"/>
                                    <w:rPr>
                                      <w:color w:val="000000" w:themeColor="text1"/>
                                      <w:sz w:val="16"/>
                                      <w:szCs w:val="16"/>
                                      <w:lang w:val="en-US"/>
                                      <w14:textFill>
                                        <w14:solidFill>
                                          <w14:schemeClr w14:val="tx1"/>
                                        </w14:solidFill>
                                      </w14:textFill>
                                    </w:rPr>
                                  </w:pPr>
                                </w:p>
                              </w:tc>
                              <w:tc>
                                <w:tcPr>
                                  <w:tcW w:w="1092" w:type="dxa"/>
                                  <w:vMerge w:val="restart"/>
                                  <w:vAlign w:val="center"/>
                                </w:tcPr>
                                <w:p w14:paraId="04FDFB5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1152" w:type="dxa"/>
                                  <w:vAlign w:val="center"/>
                                </w:tcPr>
                                <w:p w14:paraId="5034048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4500839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0.219</w:t>
                                  </w:r>
                                </w:p>
                              </w:tc>
                            </w:tr>
                            <w:tr w14:paraId="44A4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7701A6BE">
                                  <w:pPr>
                                    <w:ind w:firstLine="0"/>
                                    <w:jc w:val="left"/>
                                    <w:rPr>
                                      <w:color w:val="000000" w:themeColor="text1"/>
                                      <w:sz w:val="16"/>
                                      <w:szCs w:val="16"/>
                                      <w:lang w:val="en-US"/>
                                      <w14:textFill>
                                        <w14:solidFill>
                                          <w14:schemeClr w14:val="tx1"/>
                                        </w14:solidFill>
                                      </w14:textFill>
                                    </w:rPr>
                                  </w:pPr>
                                </w:p>
                              </w:tc>
                              <w:tc>
                                <w:tcPr>
                                  <w:tcW w:w="1092" w:type="dxa"/>
                                  <w:vMerge w:val="continue"/>
                                </w:tcPr>
                                <w:p w14:paraId="65AC4655">
                                  <w:pPr>
                                    <w:ind w:firstLine="0"/>
                                    <w:jc w:val="left"/>
                                    <w:rPr>
                                      <w:color w:val="000000" w:themeColor="text1"/>
                                      <w:sz w:val="16"/>
                                      <w:szCs w:val="16"/>
                                      <w:lang w:val="en-US"/>
                                      <w14:textFill>
                                        <w14:solidFill>
                                          <w14:schemeClr w14:val="tx1"/>
                                        </w14:solidFill>
                                      </w14:textFill>
                                    </w:rPr>
                                  </w:pPr>
                                </w:p>
                              </w:tc>
                              <w:tc>
                                <w:tcPr>
                                  <w:tcW w:w="1152" w:type="dxa"/>
                                  <w:vAlign w:val="center"/>
                                </w:tcPr>
                                <w:p w14:paraId="484C1E3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68BBA10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0.205</w:t>
                                  </w:r>
                                </w:p>
                              </w:tc>
                            </w:tr>
                            <w:tr w14:paraId="3D9F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3D6A1DB">
                                  <w:pPr>
                                    <w:ind w:firstLine="0"/>
                                    <w:jc w:val="left"/>
                                    <w:rPr>
                                      <w:color w:val="000000" w:themeColor="text1"/>
                                      <w:sz w:val="16"/>
                                      <w:szCs w:val="16"/>
                                      <w:lang w:val="en-US"/>
                                      <w14:textFill>
                                        <w14:solidFill>
                                          <w14:schemeClr w14:val="tx1"/>
                                        </w14:solidFill>
                                      </w14:textFill>
                                    </w:rPr>
                                  </w:pPr>
                                </w:p>
                              </w:tc>
                              <w:tc>
                                <w:tcPr>
                                  <w:tcW w:w="1092" w:type="dxa"/>
                                  <w:vMerge w:val="continue"/>
                                </w:tcPr>
                                <w:p w14:paraId="289B91BF">
                                  <w:pPr>
                                    <w:ind w:firstLine="0"/>
                                    <w:jc w:val="left"/>
                                    <w:rPr>
                                      <w:color w:val="000000" w:themeColor="text1"/>
                                      <w:sz w:val="16"/>
                                      <w:szCs w:val="16"/>
                                      <w:lang w:val="en-US"/>
                                      <w14:textFill>
                                        <w14:solidFill>
                                          <w14:schemeClr w14:val="tx1"/>
                                        </w14:solidFill>
                                      </w14:textFill>
                                    </w:rPr>
                                  </w:pPr>
                                </w:p>
                              </w:tc>
                              <w:tc>
                                <w:tcPr>
                                  <w:tcW w:w="1152" w:type="dxa"/>
                                  <w:vAlign w:val="center"/>
                                </w:tcPr>
                                <w:p w14:paraId="2D9D5AF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3EC8468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0.221</w:t>
                                  </w:r>
                                </w:p>
                              </w:tc>
                            </w:tr>
                            <w:tr w14:paraId="78C8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525BA00F">
                                  <w:pPr>
                                    <w:ind w:firstLine="0"/>
                                    <w:jc w:val="left"/>
                                    <w:rPr>
                                      <w:color w:val="000000" w:themeColor="text1"/>
                                      <w:sz w:val="16"/>
                                      <w:szCs w:val="16"/>
                                      <w:lang w:val="en-US"/>
                                      <w14:textFill>
                                        <w14:solidFill>
                                          <w14:schemeClr w14:val="tx1"/>
                                        </w14:solidFill>
                                      </w14:textFill>
                                    </w:rPr>
                                  </w:pPr>
                                </w:p>
                              </w:tc>
                              <w:tc>
                                <w:tcPr>
                                  <w:tcW w:w="1092" w:type="dxa"/>
                                  <w:vMerge w:val="continue"/>
                                </w:tcPr>
                                <w:p w14:paraId="78644260">
                                  <w:pPr>
                                    <w:ind w:firstLine="0"/>
                                    <w:jc w:val="left"/>
                                    <w:rPr>
                                      <w:color w:val="000000" w:themeColor="text1"/>
                                      <w:sz w:val="16"/>
                                      <w:szCs w:val="16"/>
                                      <w:lang w:val="en-US"/>
                                      <w14:textFill>
                                        <w14:solidFill>
                                          <w14:schemeClr w14:val="tx1"/>
                                        </w14:solidFill>
                                      </w14:textFill>
                                    </w:rPr>
                                  </w:pPr>
                                </w:p>
                              </w:tc>
                              <w:tc>
                                <w:tcPr>
                                  <w:tcW w:w="1152" w:type="dxa"/>
                                  <w:vAlign w:val="center"/>
                                </w:tcPr>
                                <w:p w14:paraId="26CA1B2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0E1ACCF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0.250</w:t>
                                  </w:r>
                                </w:p>
                              </w:tc>
                            </w:tr>
                            <w:tr w14:paraId="750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6DB4C588">
                                  <w:pPr>
                                    <w:ind w:firstLine="0"/>
                                    <w:jc w:val="left"/>
                                    <w:rPr>
                                      <w:color w:val="000000" w:themeColor="text1"/>
                                      <w:sz w:val="16"/>
                                      <w:szCs w:val="16"/>
                                      <w:lang w:val="en-US"/>
                                      <w14:textFill>
                                        <w14:solidFill>
                                          <w14:schemeClr w14:val="tx1"/>
                                        </w14:solidFill>
                                      </w14:textFill>
                                    </w:rPr>
                                  </w:pPr>
                                </w:p>
                              </w:tc>
                              <w:tc>
                                <w:tcPr>
                                  <w:tcW w:w="1092" w:type="dxa"/>
                                  <w:vMerge w:val="continue"/>
                                </w:tcPr>
                                <w:p w14:paraId="6C43024F">
                                  <w:pPr>
                                    <w:ind w:firstLine="0"/>
                                    <w:jc w:val="left"/>
                                    <w:rPr>
                                      <w:color w:val="000000" w:themeColor="text1"/>
                                      <w:sz w:val="16"/>
                                      <w:szCs w:val="16"/>
                                      <w:lang w:val="en-US"/>
                                      <w14:textFill>
                                        <w14:solidFill>
                                          <w14:schemeClr w14:val="tx1"/>
                                        </w14:solidFill>
                                      </w14:textFill>
                                    </w:rPr>
                                  </w:pPr>
                                </w:p>
                              </w:tc>
                              <w:tc>
                                <w:tcPr>
                                  <w:tcW w:w="1152" w:type="dxa"/>
                                  <w:vAlign w:val="center"/>
                                </w:tcPr>
                                <w:p w14:paraId="09609A3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111555C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0.269</w:t>
                                  </w:r>
                                </w:p>
                              </w:tc>
                            </w:tr>
                          </w:tbl>
                          <w:p w14:paraId="57AE7538">
                            <w:pPr>
                              <w:rPr>
                                <w:color w:val="000000" w:themeColor="text1"/>
                                <w14:textFill>
                                  <w14:solidFill>
                                    <w14:schemeClr w14:val="tx1"/>
                                  </w14:solidFill>
                                </w14:textFill>
                              </w:rPr>
                            </w:pPr>
                          </w:p>
                          <w:p w14:paraId="39C8EEA5">
                            <w:pPr>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1795780" cy="2095500"/>
                                  <wp:effectExtent l="0" t="0" r="254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4"/>
                                          <a:stretch>
                                            <a:fillRect/>
                                          </a:stretch>
                                        </pic:blipFill>
                                        <pic:spPr>
                                          <a:xfrm>
                                            <a:off x="0" y="0"/>
                                            <a:ext cx="1795780" cy="2095500"/>
                                          </a:xfrm>
                                          <a:prstGeom prst="rect">
                                            <a:avLst/>
                                          </a:prstGeom>
                                        </pic:spPr>
                                      </pic:pic>
                                    </a:graphicData>
                                  </a:graphic>
                                </wp:inline>
                              </w:drawing>
                            </w:r>
                          </w:p>
                          <w:p w14:paraId="7DF86D0F">
                            <w:pPr>
                              <w:pStyle w:val="53"/>
                              <w:spacing w:before="120" w:after="240" w:line="240" w:lineRule="auto"/>
                              <w:rPr>
                                <w:color w:val="000000" w:themeColor="text1"/>
                                <w:lang w:val="en-US"/>
                                <w14:textFill>
                                  <w14:solidFill>
                                    <w14:schemeClr w14:val="tx1"/>
                                  </w14:solidFill>
                                </w14:textFill>
                              </w:rPr>
                            </w:pPr>
                            <w:r>
                              <w:rPr>
                                <w:color w:val="000000" w:themeColor="text1"/>
                                <w:lang w:val="id-ID"/>
                                <w14:textFill>
                                  <w14:solidFill>
                                    <w14:schemeClr w14:val="tx1"/>
                                  </w14:solidFill>
                                </w14:textFill>
                              </w:rPr>
                              <w:t>Figure</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3</w:t>
                            </w:r>
                            <w:r>
                              <w:rPr>
                                <w:color w:val="000000" w:themeColor="text1"/>
                                <w14:textFill>
                                  <w14:solidFill>
                                    <w14:schemeClr w14:val="tx1"/>
                                  </w14:solidFill>
                                </w14:textFill>
                              </w:rPr>
                              <w:t xml:space="preserve">. Heatmap Comparison of ELF Emission 'Fingerprints' (Without Phantom) for (a) Xiaomi Redmi Note 8 Pro and (b) Samsung Galaxy S23. The Color Gradient Represents the B-Field Intensity (mT), Ranging from Green (Minimum) to Red (Maximum Intensity). </w:t>
                            </w:r>
                          </w:p>
                          <w:p w14:paraId="49FA6F94">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1.8pt;height:566.5pt;width:230.65pt;mso-wrap-distance-bottom:0pt;mso-wrap-distance-top:0pt;z-index:251664384;v-text-anchor:middle;mso-width-relative:page;mso-height-relative:page;" filled="f" stroked="f" coordsize="21600,21600" o:gfxdata="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EqMfXYAAAACQEA&#10;AA8AAAAAAAAAAQAgAAAAIgAAAGRycy9kb3ducmV2LnhtbFBLAQIUABQAAAAIAIdO4kCqyq70UwIA&#10;AKcEAAAOAAAAAAAAAAEAIAAAACcBAABkcnMvZTJvRG9jLnhtbFBLBQYAAAAABgAGAFkBAADsBQAA&#10;AAA=&#10;">
                <v:fill on="f" focussize="0,0"/>
                <v:stroke on="f" weight="2pt"/>
                <v:imagedata o:title=""/>
                <o:lock v:ext="edit" aspectratio="f"/>
                <v:textbox>
                  <w:txbxContent>
                    <w:p w14:paraId="7D4EF6F3">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Tabl</w:t>
                      </w:r>
                      <w:r>
                        <w:rPr>
                          <w:rFonts w:eastAsia="PMingLiU"/>
                          <w:color w:val="000000" w:themeColor="text1"/>
                          <w:lang w:val="en-US"/>
                          <w14:textFill>
                            <w14:solidFill>
                              <w14:schemeClr w14:val="tx1"/>
                            </w14:solidFill>
                          </w14:textFill>
                        </w:rPr>
                        <w:t>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1</w:t>
                      </w:r>
                    </w:p>
                    <w:p w14:paraId="3AFF22D6">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Baseline Near-Field Magnetic Field Intensity (mT) at Close Contact</w:t>
                      </w:r>
                    </w:p>
                    <w:tbl>
                      <w:tblPr>
                        <w:tblStyle w:val="8"/>
                        <w:tblW w:w="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092"/>
                        <w:gridCol w:w="1152"/>
                        <w:gridCol w:w="1129"/>
                      </w:tblGrid>
                      <w:tr w14:paraId="1B66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tcPr>
                          <w:p w14:paraId="08D247E0">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Phone Model</w:t>
                            </w:r>
                          </w:p>
                        </w:tc>
                        <w:tc>
                          <w:tcPr>
                            <w:tcW w:w="1092" w:type="dxa"/>
                          </w:tcPr>
                          <w:p w14:paraId="653A8E24">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Position</w:t>
                            </w:r>
                          </w:p>
                        </w:tc>
                        <w:tc>
                          <w:tcPr>
                            <w:tcW w:w="1152" w:type="dxa"/>
                          </w:tcPr>
                          <w:p w14:paraId="7D526831">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Angle</w:t>
                            </w:r>
                          </w:p>
                        </w:tc>
                        <w:tc>
                          <w:tcPr>
                            <w:tcW w:w="1129" w:type="dxa"/>
                          </w:tcPr>
                          <w:p w14:paraId="4C0A0379">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B-Field (mT)</w:t>
                            </w:r>
                          </w:p>
                        </w:tc>
                      </w:tr>
                      <w:tr w14:paraId="2EC2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restart"/>
                            <w:vAlign w:val="center"/>
                          </w:tcPr>
                          <w:p w14:paraId="4614948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Xiaomi Redmi Note 8 Pro</w:t>
                            </w:r>
                          </w:p>
                        </w:tc>
                        <w:tc>
                          <w:tcPr>
                            <w:tcW w:w="1092" w:type="dxa"/>
                            <w:vMerge w:val="restart"/>
                            <w:vAlign w:val="center"/>
                          </w:tcPr>
                          <w:p w14:paraId="73783DE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1152" w:type="dxa"/>
                            <w:vAlign w:val="center"/>
                          </w:tcPr>
                          <w:p w14:paraId="7D7F85D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395296A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0.406</w:t>
                            </w:r>
                          </w:p>
                        </w:tc>
                      </w:tr>
                      <w:tr w14:paraId="23B4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24EB7CAA">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79797C80">
                            <w:pPr>
                              <w:ind w:firstLine="0"/>
                              <w:jc w:val="center"/>
                              <w:rPr>
                                <w:color w:val="000000" w:themeColor="text1"/>
                                <w:sz w:val="16"/>
                                <w:szCs w:val="16"/>
                                <w:lang w:val="en-US"/>
                                <w14:textFill>
                                  <w14:solidFill>
                                    <w14:schemeClr w14:val="tx1"/>
                                  </w14:solidFill>
                                </w14:textFill>
                              </w:rPr>
                            </w:pPr>
                          </w:p>
                        </w:tc>
                        <w:tc>
                          <w:tcPr>
                            <w:tcW w:w="1152" w:type="dxa"/>
                            <w:vAlign w:val="center"/>
                          </w:tcPr>
                          <w:p w14:paraId="6A7A19A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265626B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0.278</w:t>
                            </w:r>
                          </w:p>
                        </w:tc>
                      </w:tr>
                      <w:tr w14:paraId="3EE8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63C1E27B">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00BE0E6C">
                            <w:pPr>
                              <w:ind w:firstLine="0"/>
                              <w:jc w:val="center"/>
                              <w:rPr>
                                <w:color w:val="000000" w:themeColor="text1"/>
                                <w:sz w:val="16"/>
                                <w:szCs w:val="16"/>
                                <w:lang w:val="en-US"/>
                                <w14:textFill>
                                  <w14:solidFill>
                                    <w14:schemeClr w14:val="tx1"/>
                                  </w14:solidFill>
                                </w14:textFill>
                              </w:rPr>
                            </w:pPr>
                          </w:p>
                        </w:tc>
                        <w:tc>
                          <w:tcPr>
                            <w:tcW w:w="1152" w:type="dxa"/>
                            <w:vAlign w:val="center"/>
                          </w:tcPr>
                          <w:p w14:paraId="1B8FE86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2D851F7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0.316</w:t>
                            </w:r>
                          </w:p>
                        </w:tc>
                      </w:tr>
                      <w:tr w14:paraId="7D07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34872A46">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476D67FA">
                            <w:pPr>
                              <w:ind w:firstLine="0"/>
                              <w:jc w:val="center"/>
                              <w:rPr>
                                <w:color w:val="000000" w:themeColor="text1"/>
                                <w:sz w:val="16"/>
                                <w:szCs w:val="16"/>
                                <w:lang w:val="en-US"/>
                                <w14:textFill>
                                  <w14:solidFill>
                                    <w14:schemeClr w14:val="tx1"/>
                                  </w14:solidFill>
                                </w14:textFill>
                              </w:rPr>
                            </w:pPr>
                          </w:p>
                        </w:tc>
                        <w:tc>
                          <w:tcPr>
                            <w:tcW w:w="1152" w:type="dxa"/>
                            <w:vAlign w:val="center"/>
                          </w:tcPr>
                          <w:p w14:paraId="5D95FD6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2CF46F8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0.404</w:t>
                            </w:r>
                          </w:p>
                        </w:tc>
                      </w:tr>
                      <w:tr w14:paraId="6657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3B21C589">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635A6D9E">
                            <w:pPr>
                              <w:ind w:firstLine="0"/>
                              <w:jc w:val="center"/>
                              <w:rPr>
                                <w:color w:val="000000" w:themeColor="text1"/>
                                <w:sz w:val="16"/>
                                <w:szCs w:val="16"/>
                                <w:lang w:val="en-US"/>
                                <w14:textFill>
                                  <w14:solidFill>
                                    <w14:schemeClr w14:val="tx1"/>
                                  </w14:solidFill>
                                </w14:textFill>
                              </w:rPr>
                            </w:pPr>
                          </w:p>
                        </w:tc>
                        <w:tc>
                          <w:tcPr>
                            <w:tcW w:w="1152" w:type="dxa"/>
                            <w:vAlign w:val="center"/>
                          </w:tcPr>
                          <w:p w14:paraId="7F87E0A9">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4AE2689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0.799</w:t>
                            </w:r>
                          </w:p>
                        </w:tc>
                      </w:tr>
                      <w:tr w14:paraId="57E4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5A61309F">
                            <w:pPr>
                              <w:ind w:firstLine="0"/>
                              <w:jc w:val="center"/>
                              <w:rPr>
                                <w:color w:val="000000" w:themeColor="text1"/>
                                <w:sz w:val="16"/>
                                <w:szCs w:val="16"/>
                                <w:lang w:val="en-US"/>
                                <w14:textFill>
                                  <w14:solidFill>
                                    <w14:schemeClr w14:val="tx1"/>
                                  </w14:solidFill>
                                </w14:textFill>
                              </w:rPr>
                            </w:pPr>
                          </w:p>
                        </w:tc>
                        <w:tc>
                          <w:tcPr>
                            <w:tcW w:w="1092" w:type="dxa"/>
                            <w:vMerge w:val="restart"/>
                            <w:vAlign w:val="center"/>
                          </w:tcPr>
                          <w:p w14:paraId="678DCAC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Right</w:t>
                            </w:r>
                          </w:p>
                        </w:tc>
                        <w:tc>
                          <w:tcPr>
                            <w:tcW w:w="1152" w:type="dxa"/>
                            <w:vAlign w:val="center"/>
                          </w:tcPr>
                          <w:p w14:paraId="100A855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6D9EFB5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0.209</w:t>
                            </w:r>
                          </w:p>
                        </w:tc>
                      </w:tr>
                      <w:tr w14:paraId="5E23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1DA6BE29">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618C1089">
                            <w:pPr>
                              <w:ind w:firstLine="0"/>
                              <w:jc w:val="center"/>
                              <w:rPr>
                                <w:color w:val="000000" w:themeColor="text1"/>
                                <w:sz w:val="16"/>
                                <w:szCs w:val="16"/>
                                <w:lang w:val="en-US"/>
                                <w14:textFill>
                                  <w14:solidFill>
                                    <w14:schemeClr w14:val="tx1"/>
                                  </w14:solidFill>
                                </w14:textFill>
                              </w:rPr>
                            </w:pPr>
                          </w:p>
                        </w:tc>
                        <w:tc>
                          <w:tcPr>
                            <w:tcW w:w="1152" w:type="dxa"/>
                            <w:vAlign w:val="center"/>
                          </w:tcPr>
                          <w:p w14:paraId="07002DC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70D0355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0.218</w:t>
                            </w:r>
                          </w:p>
                        </w:tc>
                      </w:tr>
                      <w:tr w14:paraId="58B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07E2E042">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63E41E34">
                            <w:pPr>
                              <w:ind w:firstLine="0"/>
                              <w:jc w:val="center"/>
                              <w:rPr>
                                <w:color w:val="000000" w:themeColor="text1"/>
                                <w:sz w:val="16"/>
                                <w:szCs w:val="16"/>
                                <w:lang w:val="en-US"/>
                                <w14:textFill>
                                  <w14:solidFill>
                                    <w14:schemeClr w14:val="tx1"/>
                                  </w14:solidFill>
                                </w14:textFill>
                              </w:rPr>
                            </w:pPr>
                          </w:p>
                        </w:tc>
                        <w:tc>
                          <w:tcPr>
                            <w:tcW w:w="1152" w:type="dxa"/>
                            <w:vAlign w:val="center"/>
                          </w:tcPr>
                          <w:p w14:paraId="30748BA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534597F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0.290</w:t>
                            </w:r>
                          </w:p>
                        </w:tc>
                      </w:tr>
                      <w:tr w14:paraId="3E69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5125B82B">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185F6D93">
                            <w:pPr>
                              <w:ind w:firstLine="0"/>
                              <w:jc w:val="center"/>
                              <w:rPr>
                                <w:color w:val="000000" w:themeColor="text1"/>
                                <w:sz w:val="16"/>
                                <w:szCs w:val="16"/>
                                <w:lang w:val="en-US"/>
                                <w14:textFill>
                                  <w14:solidFill>
                                    <w14:schemeClr w14:val="tx1"/>
                                  </w14:solidFill>
                                </w14:textFill>
                              </w:rPr>
                            </w:pPr>
                          </w:p>
                        </w:tc>
                        <w:tc>
                          <w:tcPr>
                            <w:tcW w:w="1152" w:type="dxa"/>
                            <w:vAlign w:val="center"/>
                          </w:tcPr>
                          <w:p w14:paraId="240B4FF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7C5DE4A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0.049</w:t>
                            </w:r>
                          </w:p>
                        </w:tc>
                      </w:tr>
                      <w:tr w14:paraId="5ACC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D2E74BB">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3E8B3167">
                            <w:pPr>
                              <w:ind w:firstLine="0"/>
                              <w:jc w:val="center"/>
                              <w:rPr>
                                <w:color w:val="000000" w:themeColor="text1"/>
                                <w:sz w:val="16"/>
                                <w:szCs w:val="16"/>
                                <w:lang w:val="en-US"/>
                                <w14:textFill>
                                  <w14:solidFill>
                                    <w14:schemeClr w14:val="tx1"/>
                                  </w14:solidFill>
                                </w14:textFill>
                              </w:rPr>
                            </w:pPr>
                          </w:p>
                        </w:tc>
                        <w:tc>
                          <w:tcPr>
                            <w:tcW w:w="1152" w:type="dxa"/>
                            <w:vAlign w:val="center"/>
                          </w:tcPr>
                          <w:p w14:paraId="59601DD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1144A26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0.105</w:t>
                            </w:r>
                          </w:p>
                        </w:tc>
                      </w:tr>
                      <w:tr w14:paraId="4A80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60A45140">
                            <w:pPr>
                              <w:ind w:firstLine="0"/>
                              <w:jc w:val="center"/>
                              <w:rPr>
                                <w:color w:val="000000" w:themeColor="text1"/>
                                <w:sz w:val="16"/>
                                <w:szCs w:val="16"/>
                                <w:lang w:val="en-US"/>
                                <w14:textFill>
                                  <w14:solidFill>
                                    <w14:schemeClr w14:val="tx1"/>
                                  </w14:solidFill>
                                </w14:textFill>
                              </w:rPr>
                            </w:pPr>
                          </w:p>
                        </w:tc>
                        <w:tc>
                          <w:tcPr>
                            <w:tcW w:w="1092" w:type="dxa"/>
                            <w:vMerge w:val="restart"/>
                            <w:vAlign w:val="center"/>
                          </w:tcPr>
                          <w:p w14:paraId="1953A5E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1152" w:type="dxa"/>
                            <w:vAlign w:val="center"/>
                          </w:tcPr>
                          <w:p w14:paraId="3CFAF19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6E3ECD3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0.410</w:t>
                            </w:r>
                          </w:p>
                        </w:tc>
                      </w:tr>
                      <w:tr w14:paraId="71FA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73B4421">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4AF12F77">
                            <w:pPr>
                              <w:ind w:firstLine="0"/>
                              <w:jc w:val="center"/>
                              <w:rPr>
                                <w:color w:val="000000" w:themeColor="text1"/>
                                <w:sz w:val="16"/>
                                <w:szCs w:val="16"/>
                                <w:lang w:val="en-US"/>
                                <w14:textFill>
                                  <w14:solidFill>
                                    <w14:schemeClr w14:val="tx1"/>
                                  </w14:solidFill>
                                </w14:textFill>
                              </w:rPr>
                            </w:pPr>
                          </w:p>
                        </w:tc>
                        <w:tc>
                          <w:tcPr>
                            <w:tcW w:w="1152" w:type="dxa"/>
                            <w:vAlign w:val="center"/>
                          </w:tcPr>
                          <w:p w14:paraId="642D6A7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16421EE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0.444</w:t>
                            </w:r>
                          </w:p>
                        </w:tc>
                      </w:tr>
                      <w:tr w14:paraId="65B9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FD47F8C">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10BA9ABB">
                            <w:pPr>
                              <w:ind w:firstLine="0"/>
                              <w:jc w:val="center"/>
                              <w:rPr>
                                <w:color w:val="000000" w:themeColor="text1"/>
                                <w:sz w:val="16"/>
                                <w:szCs w:val="16"/>
                                <w:lang w:val="en-US"/>
                                <w14:textFill>
                                  <w14:solidFill>
                                    <w14:schemeClr w14:val="tx1"/>
                                  </w14:solidFill>
                                </w14:textFill>
                              </w:rPr>
                            </w:pPr>
                          </w:p>
                        </w:tc>
                        <w:tc>
                          <w:tcPr>
                            <w:tcW w:w="1152" w:type="dxa"/>
                            <w:vAlign w:val="center"/>
                          </w:tcPr>
                          <w:p w14:paraId="0FA25089">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0D3B636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0.575</w:t>
                            </w:r>
                          </w:p>
                        </w:tc>
                      </w:tr>
                      <w:tr w14:paraId="5973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4E10CEC3">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3D4600BD">
                            <w:pPr>
                              <w:ind w:firstLine="0"/>
                              <w:jc w:val="center"/>
                              <w:rPr>
                                <w:color w:val="000000" w:themeColor="text1"/>
                                <w:sz w:val="16"/>
                                <w:szCs w:val="16"/>
                                <w:lang w:val="en-US"/>
                                <w14:textFill>
                                  <w14:solidFill>
                                    <w14:schemeClr w14:val="tx1"/>
                                  </w14:solidFill>
                                </w14:textFill>
                              </w:rPr>
                            </w:pPr>
                          </w:p>
                        </w:tc>
                        <w:tc>
                          <w:tcPr>
                            <w:tcW w:w="1152" w:type="dxa"/>
                            <w:vAlign w:val="center"/>
                          </w:tcPr>
                          <w:p w14:paraId="72FE250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44A7CA5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0.366</w:t>
                            </w:r>
                          </w:p>
                        </w:tc>
                      </w:tr>
                      <w:tr w14:paraId="668A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vAlign w:val="center"/>
                          </w:tcPr>
                          <w:p w14:paraId="78A636B7">
                            <w:pPr>
                              <w:ind w:firstLine="0"/>
                              <w:jc w:val="center"/>
                              <w:rPr>
                                <w:color w:val="000000" w:themeColor="text1"/>
                                <w:sz w:val="16"/>
                                <w:szCs w:val="16"/>
                                <w:lang w:val="en-US"/>
                                <w14:textFill>
                                  <w14:solidFill>
                                    <w14:schemeClr w14:val="tx1"/>
                                  </w14:solidFill>
                                </w14:textFill>
                              </w:rPr>
                            </w:pPr>
                          </w:p>
                        </w:tc>
                        <w:tc>
                          <w:tcPr>
                            <w:tcW w:w="1092" w:type="dxa"/>
                            <w:vMerge w:val="continue"/>
                            <w:vAlign w:val="center"/>
                          </w:tcPr>
                          <w:p w14:paraId="7BF0D2CA">
                            <w:pPr>
                              <w:ind w:firstLine="0"/>
                              <w:jc w:val="center"/>
                              <w:rPr>
                                <w:color w:val="000000" w:themeColor="text1"/>
                                <w:sz w:val="16"/>
                                <w:szCs w:val="16"/>
                                <w:lang w:val="en-US"/>
                                <w14:textFill>
                                  <w14:solidFill>
                                    <w14:schemeClr w14:val="tx1"/>
                                  </w14:solidFill>
                                </w14:textFill>
                              </w:rPr>
                            </w:pPr>
                          </w:p>
                        </w:tc>
                        <w:tc>
                          <w:tcPr>
                            <w:tcW w:w="1152" w:type="dxa"/>
                            <w:vAlign w:val="center"/>
                          </w:tcPr>
                          <w:p w14:paraId="45DBAC7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56AD93E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0.184</w:t>
                            </w:r>
                          </w:p>
                        </w:tc>
                      </w:tr>
                      <w:tr w14:paraId="01F2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restart"/>
                            <w:vAlign w:val="center"/>
                          </w:tcPr>
                          <w:p w14:paraId="2288FED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Samsung Galaxy S23</w:t>
                            </w:r>
                          </w:p>
                        </w:tc>
                        <w:tc>
                          <w:tcPr>
                            <w:tcW w:w="1092" w:type="dxa"/>
                            <w:vMerge w:val="restart"/>
                            <w:vAlign w:val="center"/>
                          </w:tcPr>
                          <w:p w14:paraId="7312B25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1152" w:type="dxa"/>
                            <w:vAlign w:val="center"/>
                          </w:tcPr>
                          <w:p w14:paraId="65E5B26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1F6AF50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0.183</w:t>
                            </w:r>
                          </w:p>
                        </w:tc>
                      </w:tr>
                      <w:tr w14:paraId="1E9E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1FBF5EB1">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B0D5C63">
                            <w:pPr>
                              <w:ind w:firstLine="0"/>
                              <w:jc w:val="center"/>
                              <w:rPr>
                                <w:color w:val="000000" w:themeColor="text1"/>
                                <w:sz w:val="16"/>
                                <w:szCs w:val="16"/>
                                <w:lang w:val="en-US"/>
                                <w14:textFill>
                                  <w14:solidFill>
                                    <w14:schemeClr w14:val="tx1"/>
                                  </w14:solidFill>
                                </w14:textFill>
                              </w:rPr>
                            </w:pPr>
                          </w:p>
                        </w:tc>
                        <w:tc>
                          <w:tcPr>
                            <w:tcW w:w="1152" w:type="dxa"/>
                            <w:vAlign w:val="center"/>
                          </w:tcPr>
                          <w:p w14:paraId="18413CA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4542E5F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0.233</w:t>
                            </w:r>
                          </w:p>
                        </w:tc>
                      </w:tr>
                      <w:tr w14:paraId="559A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AF02C56">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3CB5EC52">
                            <w:pPr>
                              <w:ind w:firstLine="0"/>
                              <w:jc w:val="center"/>
                              <w:rPr>
                                <w:color w:val="000000" w:themeColor="text1"/>
                                <w:sz w:val="16"/>
                                <w:szCs w:val="16"/>
                                <w:lang w:val="en-US"/>
                                <w14:textFill>
                                  <w14:solidFill>
                                    <w14:schemeClr w14:val="tx1"/>
                                  </w14:solidFill>
                                </w14:textFill>
                              </w:rPr>
                            </w:pPr>
                          </w:p>
                        </w:tc>
                        <w:tc>
                          <w:tcPr>
                            <w:tcW w:w="1152" w:type="dxa"/>
                            <w:vAlign w:val="center"/>
                          </w:tcPr>
                          <w:p w14:paraId="7F03CDB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6DC1EB1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0.259</w:t>
                            </w:r>
                          </w:p>
                        </w:tc>
                      </w:tr>
                      <w:tr w14:paraId="19DE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25300E1D">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995EFED">
                            <w:pPr>
                              <w:ind w:firstLine="0"/>
                              <w:jc w:val="center"/>
                              <w:rPr>
                                <w:color w:val="000000" w:themeColor="text1"/>
                                <w:sz w:val="16"/>
                                <w:szCs w:val="16"/>
                                <w:lang w:val="en-US"/>
                                <w14:textFill>
                                  <w14:solidFill>
                                    <w14:schemeClr w14:val="tx1"/>
                                  </w14:solidFill>
                                </w14:textFill>
                              </w:rPr>
                            </w:pPr>
                          </w:p>
                        </w:tc>
                        <w:tc>
                          <w:tcPr>
                            <w:tcW w:w="1152" w:type="dxa"/>
                            <w:vAlign w:val="center"/>
                          </w:tcPr>
                          <w:p w14:paraId="28B2F4D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49AAAB9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0.221</w:t>
                            </w:r>
                          </w:p>
                        </w:tc>
                      </w:tr>
                      <w:tr w14:paraId="0987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469DF57A">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09EACA84">
                            <w:pPr>
                              <w:ind w:firstLine="0"/>
                              <w:jc w:val="center"/>
                              <w:rPr>
                                <w:color w:val="000000" w:themeColor="text1"/>
                                <w:sz w:val="16"/>
                                <w:szCs w:val="16"/>
                                <w:lang w:val="en-US"/>
                                <w14:textFill>
                                  <w14:solidFill>
                                    <w14:schemeClr w14:val="tx1"/>
                                  </w14:solidFill>
                                </w14:textFill>
                              </w:rPr>
                            </w:pPr>
                          </w:p>
                        </w:tc>
                        <w:tc>
                          <w:tcPr>
                            <w:tcW w:w="1152" w:type="dxa"/>
                            <w:vAlign w:val="center"/>
                          </w:tcPr>
                          <w:p w14:paraId="73F56F0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0ED0377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0.241</w:t>
                            </w:r>
                          </w:p>
                        </w:tc>
                      </w:tr>
                      <w:tr w14:paraId="4C1F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04AE4591">
                            <w:pPr>
                              <w:ind w:firstLine="0"/>
                              <w:jc w:val="left"/>
                              <w:rPr>
                                <w:color w:val="000000" w:themeColor="text1"/>
                                <w:sz w:val="16"/>
                                <w:szCs w:val="16"/>
                                <w:lang w:val="en-US"/>
                                <w14:textFill>
                                  <w14:solidFill>
                                    <w14:schemeClr w14:val="tx1"/>
                                  </w14:solidFill>
                                </w14:textFill>
                              </w:rPr>
                            </w:pPr>
                          </w:p>
                        </w:tc>
                        <w:tc>
                          <w:tcPr>
                            <w:tcW w:w="1092" w:type="dxa"/>
                            <w:vMerge w:val="restart"/>
                            <w:vAlign w:val="center"/>
                          </w:tcPr>
                          <w:p w14:paraId="65B0D53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Right</w:t>
                            </w:r>
                          </w:p>
                        </w:tc>
                        <w:tc>
                          <w:tcPr>
                            <w:tcW w:w="1152" w:type="dxa"/>
                            <w:vAlign w:val="center"/>
                          </w:tcPr>
                          <w:p w14:paraId="0C88C04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5FE371C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0.176</w:t>
                            </w:r>
                          </w:p>
                        </w:tc>
                      </w:tr>
                      <w:tr w14:paraId="1483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9E987BD">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7915CDA">
                            <w:pPr>
                              <w:ind w:firstLine="0"/>
                              <w:jc w:val="center"/>
                              <w:rPr>
                                <w:color w:val="000000" w:themeColor="text1"/>
                                <w:sz w:val="16"/>
                                <w:szCs w:val="16"/>
                                <w:lang w:val="en-US"/>
                                <w14:textFill>
                                  <w14:solidFill>
                                    <w14:schemeClr w14:val="tx1"/>
                                  </w14:solidFill>
                                </w14:textFill>
                              </w:rPr>
                            </w:pPr>
                          </w:p>
                        </w:tc>
                        <w:tc>
                          <w:tcPr>
                            <w:tcW w:w="1152" w:type="dxa"/>
                            <w:vAlign w:val="center"/>
                          </w:tcPr>
                          <w:p w14:paraId="4A52A5A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4940B6A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0.223</w:t>
                            </w:r>
                          </w:p>
                        </w:tc>
                      </w:tr>
                      <w:tr w14:paraId="09D0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AE124DE">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235989F2">
                            <w:pPr>
                              <w:ind w:firstLine="0"/>
                              <w:jc w:val="center"/>
                              <w:rPr>
                                <w:color w:val="000000" w:themeColor="text1"/>
                                <w:sz w:val="16"/>
                                <w:szCs w:val="16"/>
                                <w:lang w:val="en-US"/>
                                <w14:textFill>
                                  <w14:solidFill>
                                    <w14:schemeClr w14:val="tx1"/>
                                  </w14:solidFill>
                                </w14:textFill>
                              </w:rPr>
                            </w:pPr>
                          </w:p>
                        </w:tc>
                        <w:tc>
                          <w:tcPr>
                            <w:tcW w:w="1152" w:type="dxa"/>
                            <w:vAlign w:val="center"/>
                          </w:tcPr>
                          <w:p w14:paraId="7765AFA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147882E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0.206</w:t>
                            </w:r>
                          </w:p>
                        </w:tc>
                      </w:tr>
                      <w:tr w14:paraId="3B78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7523CDF6">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7E69588D">
                            <w:pPr>
                              <w:ind w:firstLine="0"/>
                              <w:jc w:val="center"/>
                              <w:rPr>
                                <w:color w:val="000000" w:themeColor="text1"/>
                                <w:sz w:val="16"/>
                                <w:szCs w:val="16"/>
                                <w:lang w:val="en-US"/>
                                <w14:textFill>
                                  <w14:solidFill>
                                    <w14:schemeClr w14:val="tx1"/>
                                  </w14:solidFill>
                                </w14:textFill>
                              </w:rPr>
                            </w:pPr>
                          </w:p>
                        </w:tc>
                        <w:tc>
                          <w:tcPr>
                            <w:tcW w:w="1152" w:type="dxa"/>
                            <w:vAlign w:val="center"/>
                          </w:tcPr>
                          <w:p w14:paraId="049958B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1227F37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0.236</w:t>
                            </w:r>
                          </w:p>
                        </w:tc>
                      </w:tr>
                      <w:tr w14:paraId="5667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5722DD85">
                            <w:pPr>
                              <w:ind w:firstLine="0"/>
                              <w:jc w:val="left"/>
                              <w:rPr>
                                <w:color w:val="000000" w:themeColor="text1"/>
                                <w:sz w:val="16"/>
                                <w:szCs w:val="16"/>
                                <w:lang w:val="en-US"/>
                                <w14:textFill>
                                  <w14:solidFill>
                                    <w14:schemeClr w14:val="tx1"/>
                                  </w14:solidFill>
                                </w14:textFill>
                              </w:rPr>
                            </w:pPr>
                          </w:p>
                        </w:tc>
                        <w:tc>
                          <w:tcPr>
                            <w:tcW w:w="1092" w:type="dxa"/>
                            <w:vMerge w:val="continue"/>
                            <w:vAlign w:val="center"/>
                          </w:tcPr>
                          <w:p w14:paraId="33C97473">
                            <w:pPr>
                              <w:ind w:firstLine="0"/>
                              <w:jc w:val="center"/>
                              <w:rPr>
                                <w:color w:val="000000" w:themeColor="text1"/>
                                <w:sz w:val="16"/>
                                <w:szCs w:val="16"/>
                                <w:lang w:val="en-US"/>
                                <w14:textFill>
                                  <w14:solidFill>
                                    <w14:schemeClr w14:val="tx1"/>
                                  </w14:solidFill>
                                </w14:textFill>
                              </w:rPr>
                            </w:pPr>
                          </w:p>
                        </w:tc>
                        <w:tc>
                          <w:tcPr>
                            <w:tcW w:w="1152" w:type="dxa"/>
                            <w:vAlign w:val="center"/>
                          </w:tcPr>
                          <w:p w14:paraId="5ECF0DB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3BD852B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0.268</w:t>
                            </w:r>
                          </w:p>
                        </w:tc>
                      </w:tr>
                      <w:tr w14:paraId="5AF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7810A626">
                            <w:pPr>
                              <w:ind w:firstLine="0"/>
                              <w:jc w:val="left"/>
                              <w:rPr>
                                <w:color w:val="000000" w:themeColor="text1"/>
                                <w:sz w:val="16"/>
                                <w:szCs w:val="16"/>
                                <w:lang w:val="en-US"/>
                                <w14:textFill>
                                  <w14:solidFill>
                                    <w14:schemeClr w14:val="tx1"/>
                                  </w14:solidFill>
                                </w14:textFill>
                              </w:rPr>
                            </w:pPr>
                          </w:p>
                        </w:tc>
                        <w:tc>
                          <w:tcPr>
                            <w:tcW w:w="1092" w:type="dxa"/>
                            <w:vMerge w:val="restart"/>
                            <w:vAlign w:val="center"/>
                          </w:tcPr>
                          <w:p w14:paraId="04FDFB5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1152" w:type="dxa"/>
                            <w:vAlign w:val="center"/>
                          </w:tcPr>
                          <w:p w14:paraId="5034048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w:t>
                            </w:r>
                          </w:p>
                        </w:tc>
                        <w:tc>
                          <w:tcPr>
                            <w:tcW w:w="1129" w:type="dxa"/>
                            <w:vAlign w:val="center"/>
                          </w:tcPr>
                          <w:p w14:paraId="4500839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0.219</w:t>
                            </w:r>
                          </w:p>
                        </w:tc>
                      </w:tr>
                      <w:tr w14:paraId="44A4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7701A6BE">
                            <w:pPr>
                              <w:ind w:firstLine="0"/>
                              <w:jc w:val="left"/>
                              <w:rPr>
                                <w:color w:val="000000" w:themeColor="text1"/>
                                <w:sz w:val="16"/>
                                <w:szCs w:val="16"/>
                                <w:lang w:val="en-US"/>
                                <w14:textFill>
                                  <w14:solidFill>
                                    <w14:schemeClr w14:val="tx1"/>
                                  </w14:solidFill>
                                </w14:textFill>
                              </w:rPr>
                            </w:pPr>
                          </w:p>
                        </w:tc>
                        <w:tc>
                          <w:tcPr>
                            <w:tcW w:w="1092" w:type="dxa"/>
                            <w:vMerge w:val="continue"/>
                          </w:tcPr>
                          <w:p w14:paraId="65AC4655">
                            <w:pPr>
                              <w:ind w:firstLine="0"/>
                              <w:jc w:val="left"/>
                              <w:rPr>
                                <w:color w:val="000000" w:themeColor="text1"/>
                                <w:sz w:val="16"/>
                                <w:szCs w:val="16"/>
                                <w:lang w:val="en-US"/>
                                <w14:textFill>
                                  <w14:solidFill>
                                    <w14:schemeClr w14:val="tx1"/>
                                  </w14:solidFill>
                                </w14:textFill>
                              </w:rPr>
                            </w:pPr>
                          </w:p>
                        </w:tc>
                        <w:tc>
                          <w:tcPr>
                            <w:tcW w:w="1152" w:type="dxa"/>
                            <w:vAlign w:val="center"/>
                          </w:tcPr>
                          <w:p w14:paraId="484C1E3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30°</w:t>
                            </w:r>
                          </w:p>
                        </w:tc>
                        <w:tc>
                          <w:tcPr>
                            <w:tcW w:w="1129" w:type="dxa"/>
                            <w:vAlign w:val="center"/>
                          </w:tcPr>
                          <w:p w14:paraId="68BBA10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0.205</w:t>
                            </w:r>
                          </w:p>
                        </w:tc>
                      </w:tr>
                      <w:tr w14:paraId="3D9F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33D6A1DB">
                            <w:pPr>
                              <w:ind w:firstLine="0"/>
                              <w:jc w:val="left"/>
                              <w:rPr>
                                <w:color w:val="000000" w:themeColor="text1"/>
                                <w:sz w:val="16"/>
                                <w:szCs w:val="16"/>
                                <w:lang w:val="en-US"/>
                                <w14:textFill>
                                  <w14:solidFill>
                                    <w14:schemeClr w14:val="tx1"/>
                                  </w14:solidFill>
                                </w14:textFill>
                              </w:rPr>
                            </w:pPr>
                          </w:p>
                        </w:tc>
                        <w:tc>
                          <w:tcPr>
                            <w:tcW w:w="1092" w:type="dxa"/>
                            <w:vMerge w:val="continue"/>
                          </w:tcPr>
                          <w:p w14:paraId="289B91BF">
                            <w:pPr>
                              <w:ind w:firstLine="0"/>
                              <w:jc w:val="left"/>
                              <w:rPr>
                                <w:color w:val="000000" w:themeColor="text1"/>
                                <w:sz w:val="16"/>
                                <w:szCs w:val="16"/>
                                <w:lang w:val="en-US"/>
                                <w14:textFill>
                                  <w14:solidFill>
                                    <w14:schemeClr w14:val="tx1"/>
                                  </w14:solidFill>
                                </w14:textFill>
                              </w:rPr>
                            </w:pPr>
                          </w:p>
                        </w:tc>
                        <w:tc>
                          <w:tcPr>
                            <w:tcW w:w="1152" w:type="dxa"/>
                            <w:vAlign w:val="center"/>
                          </w:tcPr>
                          <w:p w14:paraId="2D9D5AF4">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45°</w:t>
                            </w:r>
                          </w:p>
                        </w:tc>
                        <w:tc>
                          <w:tcPr>
                            <w:tcW w:w="1129" w:type="dxa"/>
                            <w:vAlign w:val="center"/>
                          </w:tcPr>
                          <w:p w14:paraId="3EC8468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0.221</w:t>
                            </w:r>
                          </w:p>
                        </w:tc>
                      </w:tr>
                      <w:tr w14:paraId="78C8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525BA00F">
                            <w:pPr>
                              <w:ind w:firstLine="0"/>
                              <w:jc w:val="left"/>
                              <w:rPr>
                                <w:color w:val="000000" w:themeColor="text1"/>
                                <w:sz w:val="16"/>
                                <w:szCs w:val="16"/>
                                <w:lang w:val="en-US"/>
                                <w14:textFill>
                                  <w14:solidFill>
                                    <w14:schemeClr w14:val="tx1"/>
                                  </w14:solidFill>
                                </w14:textFill>
                              </w:rPr>
                            </w:pPr>
                          </w:p>
                        </w:tc>
                        <w:tc>
                          <w:tcPr>
                            <w:tcW w:w="1092" w:type="dxa"/>
                            <w:vMerge w:val="continue"/>
                          </w:tcPr>
                          <w:p w14:paraId="78644260">
                            <w:pPr>
                              <w:ind w:firstLine="0"/>
                              <w:jc w:val="left"/>
                              <w:rPr>
                                <w:color w:val="000000" w:themeColor="text1"/>
                                <w:sz w:val="16"/>
                                <w:szCs w:val="16"/>
                                <w:lang w:val="en-US"/>
                                <w14:textFill>
                                  <w14:solidFill>
                                    <w14:schemeClr w14:val="tx1"/>
                                  </w14:solidFill>
                                </w14:textFill>
                              </w:rPr>
                            </w:pPr>
                          </w:p>
                        </w:tc>
                        <w:tc>
                          <w:tcPr>
                            <w:tcW w:w="1152" w:type="dxa"/>
                            <w:vAlign w:val="center"/>
                          </w:tcPr>
                          <w:p w14:paraId="26CA1B2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60°</w:t>
                            </w:r>
                          </w:p>
                        </w:tc>
                        <w:tc>
                          <w:tcPr>
                            <w:tcW w:w="1129" w:type="dxa"/>
                            <w:vAlign w:val="center"/>
                          </w:tcPr>
                          <w:p w14:paraId="0E1ACCF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0.250</w:t>
                            </w:r>
                          </w:p>
                        </w:tc>
                      </w:tr>
                      <w:tr w14:paraId="750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52" w:type="dxa"/>
                            <w:vMerge w:val="continue"/>
                          </w:tcPr>
                          <w:p w14:paraId="6DB4C588">
                            <w:pPr>
                              <w:ind w:firstLine="0"/>
                              <w:jc w:val="left"/>
                              <w:rPr>
                                <w:color w:val="000000" w:themeColor="text1"/>
                                <w:sz w:val="16"/>
                                <w:szCs w:val="16"/>
                                <w:lang w:val="en-US"/>
                                <w14:textFill>
                                  <w14:solidFill>
                                    <w14:schemeClr w14:val="tx1"/>
                                  </w14:solidFill>
                                </w14:textFill>
                              </w:rPr>
                            </w:pPr>
                          </w:p>
                        </w:tc>
                        <w:tc>
                          <w:tcPr>
                            <w:tcW w:w="1092" w:type="dxa"/>
                            <w:vMerge w:val="continue"/>
                          </w:tcPr>
                          <w:p w14:paraId="6C43024F">
                            <w:pPr>
                              <w:ind w:firstLine="0"/>
                              <w:jc w:val="left"/>
                              <w:rPr>
                                <w:color w:val="000000" w:themeColor="text1"/>
                                <w:sz w:val="16"/>
                                <w:szCs w:val="16"/>
                                <w:lang w:val="en-US"/>
                                <w14:textFill>
                                  <w14:solidFill>
                                    <w14:schemeClr w14:val="tx1"/>
                                  </w14:solidFill>
                                </w14:textFill>
                              </w:rPr>
                            </w:pPr>
                          </w:p>
                        </w:tc>
                        <w:tc>
                          <w:tcPr>
                            <w:tcW w:w="1152" w:type="dxa"/>
                            <w:vAlign w:val="center"/>
                          </w:tcPr>
                          <w:p w14:paraId="09609A3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129" w:type="dxa"/>
                            <w:vAlign w:val="center"/>
                          </w:tcPr>
                          <w:p w14:paraId="111555C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0.269</w:t>
                            </w:r>
                          </w:p>
                        </w:tc>
                      </w:tr>
                    </w:tbl>
                    <w:p w14:paraId="57AE7538">
                      <w:pPr>
                        <w:rPr>
                          <w:color w:val="000000" w:themeColor="text1"/>
                          <w14:textFill>
                            <w14:solidFill>
                              <w14:schemeClr w14:val="tx1"/>
                            </w14:solidFill>
                          </w14:textFill>
                        </w:rPr>
                      </w:pPr>
                    </w:p>
                    <w:p w14:paraId="39C8EEA5">
                      <w:pPr>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1795780" cy="2095500"/>
                            <wp:effectExtent l="0" t="0" r="254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4"/>
                                    <a:stretch>
                                      <a:fillRect/>
                                    </a:stretch>
                                  </pic:blipFill>
                                  <pic:spPr>
                                    <a:xfrm>
                                      <a:off x="0" y="0"/>
                                      <a:ext cx="1795780" cy="2095500"/>
                                    </a:xfrm>
                                    <a:prstGeom prst="rect">
                                      <a:avLst/>
                                    </a:prstGeom>
                                  </pic:spPr>
                                </pic:pic>
                              </a:graphicData>
                            </a:graphic>
                          </wp:inline>
                        </w:drawing>
                      </w:r>
                    </w:p>
                    <w:p w14:paraId="7DF86D0F">
                      <w:pPr>
                        <w:pStyle w:val="53"/>
                        <w:spacing w:before="120" w:after="240" w:line="240" w:lineRule="auto"/>
                        <w:rPr>
                          <w:color w:val="000000" w:themeColor="text1"/>
                          <w:lang w:val="en-US"/>
                          <w14:textFill>
                            <w14:solidFill>
                              <w14:schemeClr w14:val="tx1"/>
                            </w14:solidFill>
                          </w14:textFill>
                        </w:rPr>
                      </w:pPr>
                      <w:r>
                        <w:rPr>
                          <w:color w:val="000000" w:themeColor="text1"/>
                          <w:lang w:val="id-ID"/>
                          <w14:textFill>
                            <w14:solidFill>
                              <w14:schemeClr w14:val="tx1"/>
                            </w14:solidFill>
                          </w14:textFill>
                        </w:rPr>
                        <w:t>Figure</w:t>
                      </w:r>
                      <w:r>
                        <w:rPr>
                          <w:color w:val="000000" w:themeColor="text1"/>
                          <w14:textFill>
                            <w14:solidFill>
                              <w14:schemeClr w14:val="tx1"/>
                            </w14:solidFill>
                          </w14:textFill>
                        </w:rPr>
                        <w:t xml:space="preserve"> </w:t>
                      </w:r>
                      <w:r>
                        <w:rPr>
                          <w:color w:val="000000" w:themeColor="text1"/>
                          <w:lang w:val="en-US"/>
                          <w14:textFill>
                            <w14:solidFill>
                              <w14:schemeClr w14:val="tx1"/>
                            </w14:solidFill>
                          </w14:textFill>
                        </w:rPr>
                        <w:t>3</w:t>
                      </w:r>
                      <w:r>
                        <w:rPr>
                          <w:color w:val="000000" w:themeColor="text1"/>
                          <w14:textFill>
                            <w14:solidFill>
                              <w14:schemeClr w14:val="tx1"/>
                            </w14:solidFill>
                          </w14:textFill>
                        </w:rPr>
                        <w:t xml:space="preserve">. Heatmap Comparison of ELF Emission 'Fingerprints' (Without Phantom) for (a) Xiaomi Redmi Note 8 Pro and (b) Samsung Galaxy S23. The Color Gradient Represents the B-Field Intensity (mT), Ranging from Green (Minimum) to Red (Maximum Intensity). </w:t>
                      </w:r>
                    </w:p>
                    <w:p w14:paraId="49FA6F94">
                      <w:pPr>
                        <w:jc w:val="center"/>
                        <w:rPr>
                          <w:color w:val="000000" w:themeColor="text1"/>
                          <w14:textFill>
                            <w14:solidFill>
                              <w14:schemeClr w14:val="tx1"/>
                            </w14:solidFill>
                          </w14:textFill>
                        </w:rPr>
                      </w:pPr>
                    </w:p>
                  </w:txbxContent>
                </v:textbox>
                <w10:wrap type="topAndBottom"/>
              </v:rect>
            </w:pict>
          </mc:Fallback>
        </mc:AlternateContent>
      </w:r>
      <w:r>
        <w:rPr>
          <w:color w:val="000000" w:themeColor="text1"/>
          <w:lang w:val="en-US"/>
          <w14:textFill>
            <w14:solidFill>
              <w14:schemeClr w14:val="tx1"/>
            </w14:solidFill>
          </w14:textFill>
        </w:rPr>
        <w:t>the differing emission 'fingerprints.' In Figure 3a, the intense coloration corresponding to the 0.799 mT peak is sharply localized to the center position at a 90° orientation, suggesting a single, dominant emission source within the Xiaomi device's power delivery network. In contrast, Figure 3b reveals a more diffuse pattern of lower-intensity fields across the Samsung device's surface, with no single dominant concentration. This contrasting visual evidence strongly supports the conclusion that the premium device employs a more electromagnetically compatible internal layout.</w:t>
      </w:r>
    </w:p>
    <w:p w14:paraId="4FB44F19">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This difference can be considered a unique ELF emission "fingerprint" for each device, directly reflecting the quality and engineering philosophy of its internal hardware. As previously discussed, ELF magnetic field emissions from the PDN are fundamentally generated by current loops. Effective EMC design aims to minimize these loops to reduce EMI. </w:t>
      </w:r>
      <w:r>
        <w:rPr>
          <w:color w:val="000000" w:themeColor="text1"/>
          <w:lang w:val="en-US"/>
          <w14:textFill>
            <w14:solidFill>
              <w14:schemeClr w14:val="tx1"/>
            </w14:solidFill>
          </w14:textFill>
        </w:rPr>
        <w:fldChar w:fldCharType="begin" w:fldLock="1"/>
      </w:r>
      <w:r>
        <w:rPr>
          <w:color w:val="000000" w:themeColor="text1"/>
          <w:lang w:val="en-US"/>
          <w14:textFill>
            <w14:solidFill>
              <w14:schemeClr w14:val="tx1"/>
            </w14:solidFill>
          </w14:textFill>
        </w:rPr>
        <w:instrText xml:space="preserve">ADDIN CSL_CITATION {"citationItems":[{"id":"ITEM-1","itemData":{"DOI":"10.1016/j.envint.2024.108552","ISSN":"18736750","PMID":"38458118","abstract":"Background: Each new generation of mobile phone technology has triggered discussions about potential carcinogenicity from exposure to radiofrequency electromagnetic fields (RF-EMF). Available evidence has been insufficient to conclude about long-term and heavy mobile phone use, limited by differential recall and selection bias, or crude exposure assessment. The Cohort Study on Mobile Phones and Health (COSMOS) was specifically designed to overcome these shortcomings. Methods: We recruited participants in Denmark, Finland, the Netherlands, Sweden, and the UK 2007–2012. The baseline questionnaire assessed lifetime history of mobile phone use. Participants were followed through population-based cancer registers to identify glioma, meningioma, and acoustic neuroma cases during follow-up. Non-differential exposure misclassification was reduced by adjusting estimates of mobile phone call-time through regression calibration methods based on self-reported data and objective operator-recorded information at baseline. Hazard ratios (HR) and 95% confidence intervals (CI) for glioma, meningioma, and acoustic neuroma in relation to lifetime history of mobile phone use were estimated with Cox regression models with attained age as the underlying time-scale, adjusted for country, sex, educational level, and marital status. Results: 264,574 participants accrued 1,836,479 person-years. During a median follow-up of 7.12 years, 149 glioma, 89 meningioma, and 29 incident cases of acoustic neuroma were diagnosed. The adjusted HR per 100 regression-calibrated cumulative hours of mobile phone call-time was 1.00 (95 % CI 0.98–1.02) for glioma, 1.01 (95 % CI 0.96–1.06) for meningioma, and 1.02 (95 % CI 0.99–1.06) for acoustic neuroma. For glioma, the HR for ≥ 1908 regression-calibrated cumulative hours (90th percentile cut-point) was 1.07 (95 % CI 0.62–1.86). Over 15 years of mobile phone use was not associated with an increased tumour risk; for glioma the HR was 0.97 (95 % CI 0.62–1.52). Conclusions: Our findings suggest that the cumulative amount of mobile phone use is not associated with the risk of developing glioma, meningioma, or acoustic neuroma.","author":[{"dropping-particle":"","family":"Feychting","given":"Maria","non-dropping-particle":"","parse-names":false,"suffix":""},{"dropping-particle":"","family":"Schüz","given":"Joachim","non-dropping-particle":"","parse-names":false,"suffix":""},{"dropping-particle":"","family":"Toledano","given":"Mireille B.","non-dropping-particle":"","parse-names":false,"suffix":""},{"dropping-particle":"","family":"Vermeulen","given":"Roel","non-dropping-particle":"","parse-names":false,"suffix":""},{"dropping-particle":"","family":"Auvinen","given":"Anssi","non-dropping-particle":"","parse-names":false,"suffix":""},{"dropping-particle":"","family":"Harbo Poulsen","given":"Aslak","non-dropping-particle":"","parse-names":false,"suffix":""},{"dropping-particle":"","family":"Deltour","given":"Isabelle","non-dropping-particle":"","parse-names":false,"suffix":""},{"dropping-particle":"","family":"Smith","given":"Rachel B.","non-dropping-particle":"","parse-names":false,"suffix":""},{"dropping-particle":"","family":"Heller","given":"Joel","non-dropping-particle":"","parse-names":false,"suffix":""},{"dropping-particle":"","family":"Kromhout","given":"Hans","non-dropping-particle":"","parse-names":false,"suffix":""},{"dropping-particle":"","family":"Huss","given":"Anke","non-dropping-particle":"","parse-names":false,"suffix":""},{"dropping-particle":"","family":"Johansen","given":"Christoffer","non-dropping-particle":"","parse-names":false,"suffix":""},{"dropping-particle":"","family":"Tettamanti","given":"Giorgio","non-dropping-particle":"","parse-names":false,"suffix":""},{"dropping-particle":"","family":"Elliott","given":"Paul","non-dropping-particle":"","parse-names":false,"suffix":""}],"container-title":"Environment International","id":"ITEM-1","issue":"January","issued":{"date-parts":[["2024"]]},"page":"108552","publisher":"Elsevier Ltd","title":"Mobile phone use and brain tumour risk – COSMOS, a prospective cohort study","type":"article-journal","volume":"185"},"uris":["http://www.mendeley.com/documents/?uuid=c62be56e-1d15-4c3e-82b1-a69495307b17"]},{"id":"ITEM-2","itemData":{"DOI":"10.1016/j.chphma.2022.10.002","ISSN":"20970323","abstract":"The electromagnetic wave absorption capabilities of an absorber depend on its dielectric and magnetic components, which determine its interfacial polarization, conductivity loss, magnetic loss, and other such mechanisms. In this study, a comprehensive review of the electromagnetic wave and material interaction was conducted. Moreover, for a better understanding of the trends and evolutionary developments in the study of the electromagnetic wave absorber, 23300 documents dated between 1990 and 2020 were examined, which were obtained from Scopus using the keywords of “electromagnetic wave absorption” and “microwave absorption”. The data search in Scopus was conducted using the related keywords in the search bar for titles and abstracts. These results demonstrate that the majority of research regarding electromagnetic wave absorbers was conducted in China, which was followed by the United States. The number of published documents regarding the electromagnetic wave absorption field significantly increased between 1990 and 2020; these documents were mostly published as journal articles. With respect to the journal activity, the most productive journal was the “Journal of Alloys and Compounds”, with a total of 592 articles. In addition, graphene and titanium dioxide were determined to be the materials that were most studied in the field of electromagnetic wave absorption.","author":[{"dropping-particle":"","family":"Akinay","given":"Yuksel","non-dropping-particle":"","parse-names":false,"suffix":""},{"dropping-particle":"","family":"Gunes","given":"Umit","non-dropping-particle":"","parse-names":false,"suffix":""},{"dropping-particle":"","family":"Çolak","given":"Bektaş","non-dropping-particle":"","parse-names":false,"suffix":""},{"dropping-particle":"","family":"Cetin","given":"Tayfun","non-dropping-particle":"","parse-names":false,"suffix":""}],"container-title":"ChemPhysMater","id":"ITEM-2","issue":"3","issued":{"date-parts":[["2023"]]},"page":"197-206","title":"Recent progress of electromagnetic wave absorbers: A systematic review and bibliometric approach","type":"article-journal","volume":"2"},"uris":["http://www.mendeley.com/documents/?uuid=7f65aa71-dbf9-4970-a56d-d787ea3a831d"]}],"mendeley":{"formattedCitation":"[2], [6]","plainTextFormattedCitation":"[2], [6]","previouslyFormattedCitation":"[2], [6]"},"properties":{"noteIndex":0},"schema":"https://github.com/citation-style-language/schema/raw/master/csl-citation.json"}</w:instrText>
      </w:r>
      <w:r>
        <w:rPr>
          <w:color w:val="000000" w:themeColor="text1"/>
          <w:lang w:val="en-US"/>
          <w14:textFill>
            <w14:solidFill>
              <w14:schemeClr w14:val="tx1"/>
            </w14:solidFill>
          </w14:textFill>
        </w:rPr>
        <w:fldChar w:fldCharType="separate"/>
      </w:r>
      <w:r>
        <w:rPr>
          <w:color w:val="000000" w:themeColor="text1"/>
          <w:lang w:val="en-US"/>
          <w14:textFill>
            <w14:solidFill>
              <w14:schemeClr w14:val="tx1"/>
            </w14:solidFill>
          </w14:textFill>
        </w:rPr>
        <w:t>[2], [6]</w:t>
      </w:r>
      <w:r>
        <w:rPr>
          <w:color w:val="000000" w:themeColor="text1"/>
          <w:lang w:val="en-US"/>
          <w14:textFill>
            <w14:solidFill>
              <w14:schemeClr w14:val="tx1"/>
            </w14:solidFill>
          </w14:textFill>
        </w:rPr>
        <w:fldChar w:fldCharType="end"/>
      </w:r>
      <w:r>
        <w:rPr>
          <w:color w:val="000000" w:themeColor="text1"/>
          <w:lang w:val="en-US"/>
          <w14:textFill>
            <w14:solidFill>
              <w14:schemeClr w14:val="tx1"/>
            </w14:solidFill>
          </w14:textFill>
        </w:rPr>
        <w:t>.</w:t>
      </w:r>
    </w:p>
    <w:p w14:paraId="7E13B782">
      <w:pPr>
        <w:rPr>
          <w:color w:val="000000" w:themeColor="text1"/>
          <w14:textFill>
            <w14:solidFill>
              <w14:schemeClr w14:val="tx1"/>
            </w14:solidFill>
          </w14:textFill>
        </w:rPr>
      </w:pPr>
      <w:r>
        <w:rPr>
          <w:color w:val="000000" w:themeColor="text1"/>
          <w14:textFill>
            <w14:solidFill>
              <w14:schemeClr w14:val="tx1"/>
            </w14:solidFill>
          </w14:textFill>
        </w:rPr>
        <w:t xml:space="preserve">This disparity confirms the "Fingerprint Hypothesis." The 4nm architecture of the Samsung device enables a reduction in the physical area of high-current loops within the PMIC and PCB layout. In </w:t>
      </w:r>
      <w:r>
        <w:rPr>
          <w:color w:val="000000" w:themeColor="text1"/>
          <w:lang w:val="en-US"/>
          <w14:textFill>
            <w14:solidFill>
              <w14:schemeClr w14:val="tx1"/>
            </w14:solidFill>
          </w14:textFill>
        </w:rPr>
        <w:t>the</w:t>
      </w:r>
      <w:r>
        <w:rPr>
          <w:color w:val="000000" w:themeColor="text1"/>
          <w14:textFill>
            <w14:solidFill>
              <w14:schemeClr w14:val="tx1"/>
            </w14:solidFill>
          </w14:textFill>
        </w:rPr>
        <w:t xml:space="preserve"> investigation of pre-layout EMI estimation, </w:t>
      </w:r>
      <w:r>
        <w:rPr>
          <w:color w:val="000000" w:themeColor="text1"/>
          <w:lang w:val="en-US"/>
          <w14:textFill>
            <w14:solidFill>
              <w14:schemeClr w14:val="tx1"/>
            </w14:solidFill>
          </w14:textFill>
        </w:rPr>
        <w:t>research</w:t>
      </w:r>
      <w:r>
        <w:rPr>
          <w:color w:val="000000" w:themeColor="text1"/>
          <w14:textFill>
            <w14:solidFill>
              <w14:schemeClr w14:val="tx1"/>
            </w14:solidFill>
          </w14:textFill>
        </w:rPr>
        <w:t xml:space="preserve"> emphasizes that minimizing the parasitic loop inductance in DC-DC converters is the most effective method for reducing conducted emissions</w:t>
      </w:r>
      <w:r>
        <w:rPr>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fldChar w:fldCharType="begin" w:fldLock="1"/>
      </w:r>
      <w:r>
        <w:rPr>
          <w:color w:val="000000" w:themeColor="text1"/>
          <w:lang w:val="en-US"/>
          <w14:textFill>
            <w14:solidFill>
              <w14:schemeClr w14:val="tx1"/>
            </w14:solidFill>
          </w14:textFill>
        </w:rPr>
        <w:instrText xml:space="preserve">ADDIN CSL_CITATION {"citationItems":[{"id":"ITEM-1","itemData":{"ISBN":"9780735442733","author":[{"dropping-particle":"","family":"Shchuchkin","given":"Evgeny Yurievich","non-dropping-particle":"","parse-names":false,"suffix":""}],"id":"ITEM-1","issue":"December","issued":{"date-parts":[["2022"]]},"title":"Pre-layout DC-DC converter conductive EMI level estimation Pre-Layout DC-DC Converter Conductive EMI Level Estimation","type":"article-journal","volume":"020029"},"uris":["http://www.mendeley.com/documents/?uuid=c2705848-4444-4601-b3ce-0657acda72d2"]}],"mendeley":{"formattedCitation":"[13]","plainTextFormattedCitation":"[13]","previouslyFormattedCitation":"[14]"},"properties":{"noteIndex":0},"schema":"https://github.com/citation-style-language/schema/raw/master/csl-citation.json"}</w:instrText>
      </w:r>
      <w:r>
        <w:rPr>
          <w:color w:val="000000" w:themeColor="text1"/>
          <w:lang w:val="en-US"/>
          <w14:textFill>
            <w14:solidFill>
              <w14:schemeClr w14:val="tx1"/>
            </w14:solidFill>
          </w14:textFill>
        </w:rPr>
        <w:fldChar w:fldCharType="separate"/>
      </w:r>
      <w:r>
        <w:rPr>
          <w:color w:val="000000" w:themeColor="text1"/>
          <w:lang w:val="en-US"/>
          <w14:textFill>
            <w14:solidFill>
              <w14:schemeClr w14:val="tx1"/>
            </w14:solidFill>
          </w14:textFill>
        </w:rPr>
        <w:t>[13]</w:t>
      </w:r>
      <w:r>
        <w:rPr>
          <w:color w:val="000000" w:themeColor="text1"/>
          <w:lang w:val="en-US"/>
          <w14:textFill>
            <w14:solidFill>
              <w14:schemeClr w14:val="tx1"/>
            </w14:solidFill>
          </w14:textFill>
        </w:rPr>
        <w:fldChar w:fldCharType="end"/>
      </w:r>
      <w:r>
        <w:rPr>
          <w:color w:val="000000" w:themeColor="text1"/>
          <w14:textFill>
            <w14:solidFill>
              <w14:schemeClr w14:val="tx1"/>
            </w14:solidFill>
          </w14:textFill>
        </w:rPr>
        <w:t xml:space="preserve">. Our data aligns with </w:t>
      </w:r>
      <w:r>
        <w:rPr>
          <w:color w:val="000000" w:themeColor="text1"/>
          <w:lang w:val="en-US"/>
          <w14:textFill>
            <w14:solidFill>
              <w14:schemeClr w14:val="tx1"/>
            </w14:solidFill>
          </w14:textFill>
        </w:rPr>
        <w:t>recent</w:t>
      </w:r>
      <w:r>
        <w:rPr>
          <w:color w:val="000000" w:themeColor="text1"/>
          <w14:textFill>
            <w14:solidFill>
              <w14:schemeClr w14:val="tx1"/>
            </w14:solidFill>
          </w14:textFill>
        </w:rPr>
        <w:t xml:space="preserve"> findings, suggesting that the advanced integration of the 4nm chipset inherently reduces the radiated magnetic field magnitude. Furthermore, the aluminum chassis of the Samsung device likely provides passive shielding by supporting the formation of surface eddy currents, a mechanism absent in the plastic-bodied Xiaomi.</w:t>
      </w:r>
    </w:p>
    <w:p w14:paraId="4E3D08A8">
      <w:pPr>
        <w:rPr>
          <w:color w:val="000000" w:themeColor="text1"/>
          <w14:textFill>
            <w14:solidFill>
              <w14:schemeClr w14:val="tx1"/>
            </w14:solidFill>
          </w14:textFill>
        </w:rPr>
      </w:pPr>
      <w:r>
        <w:rPr>
          <w:color w:val="000000" w:themeColor="text1"/>
          <w14:textFill>
            <w14:solidFill>
              <w14:schemeClr w14:val="tx1"/>
            </w14:solidFill>
          </w14:textFill>
        </w:rPr>
        <w:t>In contrast, the Xiaomi Redmi Note 8 Pro's MediaTek Helio G90T, a mid-range SoC built on an older 12nm process, likely has a less integrated power architecture. This can result in component layouts with larger and less electromagnetically shielded current loops, thereby generating stronger stray magnetic fields.</w:t>
      </w:r>
    </w:p>
    <w:p w14:paraId="21C80785">
      <w:pPr>
        <w:rPr>
          <w:color w:val="000000" w:themeColor="text1"/>
          <w:lang w:val="en-US"/>
          <w14:textFill>
            <w14:solidFill>
              <w14:schemeClr w14:val="tx1"/>
            </w14:solidFill>
          </w14:textFill>
        </w:rPr>
      </w:pPr>
      <w:r>
        <w:rPr>
          <w:color w:val="000000" w:themeColor="text1"/>
          <w14:textFill>
            <w14:solidFill>
              <w14:schemeClr w14:val="tx1"/>
            </w14:solidFill>
          </w14:textFill>
        </w:rPr>
        <w:t xml:space="preserve">Furthermore, the device's chassis material also contributes. The conductive "Armor Aluminum" frame of the Samsung S23 can provide an additional passive shielding effect through the induction of eddy currents within the frame itself, a mechanism absent in the non-conductive plastic frame of the Xiaomi </w:t>
      </w: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ADDIN CSL_CITATION {"citationItems":[{"id":"ITEM-1","itemData":{"DOI":"10.1002/mrm.26766","ISSN":"15222594","PMID":"28585334","abstract":"Purpose: Magnetic resonance–compatible medical devices operate within the MR environment while benefitting from the superior anatomic information of MRI. Avoiding electromagnetic interference between such instrumentation and the MR system is crucial. In this work, various shielding configurations for positron emission tomography (PET) detectors were studied and analyzed regarding radiofrequency (RF) shielding effectiveness and gradient-induced eddy current performances. However, the results of this work apply to shielding considerations for any MR-compatible devices. Methods: Six shielding enclosure configurations with various thicknesses, patterns, and materials were designed: solid and segmented copper, phosphor bronze mesh (PBM), and carbon fiber composite (CFC). A series of tests was performed on RF shielding effectiveness and the gradient-induced eddy current. Results: For the shielding effectiveness, the solid copper with various thickness and PBM configurations yield significantly better shielding effectiveness (&gt;15 dB) compared with CFC and segmented configurations. For the gradient-induced eddy current performance, the solid copper shielding configurations with different thicknesses showed significantly worse results, up to a factor of 3.89 dB, compared with the segmented copper, PBM, and the CFC configurations. Conclusions: We evaluated the RF shielding effectiveness and the gradient-induced eddy current artifacts of several shielding designs, and only the PBM showed positive outcomes for both aspects. Magn Reson Med 79:1745–1752, 2018. © 2017 International Society for Magnetic Resonance in Medicine.","author":[{"dropping-particle":"","family":"Lee","given":"Brian J.","non-dropping-particle":"","parse-names":false,"suffix":""},{"dropping-particle":"","family":"Watkins","given":"Ronald D.","non-dropping-particle":"","parse-names":false,"suffix":""},{"dropping-particle":"","family":"Chang","given":"Chen Ming","non-dropping-particle":"","parse-names":false,"suffix":""},{"dropping-particle":"","family":"Levin","given":"Craig S.","non-dropping-particle":"","parse-names":false,"suffix":""}],"container-title":"Magnetic Resonance in Medicine","id":"ITEM-1","issue":"3","issued":{"date-parts":[["2018"]]},"page":"1745-1752","title":"Low eddy current RF shielding enclosure designs for 3T MR applications","type":"article-journal","volume":"79"},"uris":["http://www.mendeley.com/documents/?uuid=39e52af9-40ce-470c-9b08-ba7bc3554edc"]}],"mendeley":{"formattedCitation":"[14]","plainTextFormattedCitation":"[14]","previouslyFormattedCitation":"[15]"},"properties":{"noteIndex":0},"schema":"https://github.com/citation-style-language/schema/raw/master/csl-citation.json"}</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lang w:val="en-US"/>
          <w14:textFill>
            <w14:solidFill>
              <w14:schemeClr w14:val="tx1"/>
            </w14:solidFill>
          </w14:textFill>
        </w:rPr>
        <w:t>. Thus, it is evident that the level of near-field ELF exposure is not a function of network technology generation (4G vs. 5G), but rather a predictable consequence of the quality of electrical design, chipset integration levels, and the EMC principles applied at the hardware level.</w:t>
      </w:r>
      <w:r>
        <w:t xml:space="preserve"> </w:t>
      </w:r>
    </w:p>
    <w:p w14:paraId="568D1860">
      <w:pPr>
        <w:pStyle w:val="3"/>
        <w:numPr>
          <w:ilvl w:val="0"/>
          <w:numId w:val="9"/>
        </w:numPr>
        <w:rPr>
          <w:rStyle w:val="38"/>
          <w:color w:val="FF0000"/>
          <w:lang w:val="en-US"/>
        </w:rPr>
      </w:pPr>
      <w:r>
        <w:rPr>
          <w:color w:val="000000" w:themeColor="text1"/>
          <w14:textFill>
            <w14:solidFill>
              <w14:schemeClr w14:val="tx1"/>
            </w14:solidFill>
          </w14:textFill>
        </w:rPr>
        <w:t>Quantitative Analysis of Mitigation Strategies: Physical Distance vs. Material Shielding</w:t>
      </w:r>
    </w:p>
    <w:p w14:paraId="3F3A1E54">
      <w:r>
        <w:rPr>
          <w:sz w:val="20"/>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1370965</wp:posOffset>
                </wp:positionV>
                <wp:extent cx="2980055" cy="1473835"/>
                <wp:effectExtent l="0" t="0" r="0" b="0"/>
                <wp:wrapTopAndBottom/>
                <wp:docPr id="15" name="Rectangles 15"/>
                <wp:cNvGraphicFramePr/>
                <a:graphic xmlns:a="http://schemas.openxmlformats.org/drawingml/2006/main">
                  <a:graphicData uri="http://schemas.microsoft.com/office/word/2010/wordprocessingShape">
                    <wps:wsp>
                      <wps:cNvSpPr/>
                      <wps:spPr>
                        <a:xfrm>
                          <a:off x="3953510" y="8186420"/>
                          <a:ext cx="2980055" cy="147383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D229636">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Tabl</w:t>
                            </w:r>
                            <w:r>
                              <w:rPr>
                                <w:rFonts w:eastAsia="PMingLiU"/>
                                <w:color w:val="000000" w:themeColor="text1"/>
                                <w:lang w:val="en-US"/>
                                <w14:textFill>
                                  <w14:solidFill>
                                    <w14:schemeClr w14:val="tx1"/>
                                  </w14:solidFill>
                                </w14:textFill>
                              </w:rPr>
                              <w:t>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2</w:t>
                            </w:r>
                          </w:p>
                          <w:p w14:paraId="660445DB">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Attenuation Analysis at the Hotspot for Xiaomi Redmi Note 8 Pro</w:t>
                            </w:r>
                          </w:p>
                          <w:tbl>
                            <w:tblPr>
                              <w:tblStyle w:val="8"/>
                              <w:tblW w:w="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125"/>
                              <w:gridCol w:w="876"/>
                              <w:gridCol w:w="1321"/>
                            </w:tblGrid>
                            <w:tr w14:paraId="473B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03" w:type="dxa"/>
                                  <w:vAlign w:val="center"/>
                                </w:tcPr>
                                <w:p w14:paraId="0F7B9FA8">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Measurement Condition</w:t>
                                  </w:r>
                                </w:p>
                              </w:tc>
                              <w:tc>
                                <w:tcPr>
                                  <w:tcW w:w="1125" w:type="dxa"/>
                                  <w:vAlign w:val="center"/>
                                </w:tcPr>
                                <w:p w14:paraId="5DBF4AFD">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Position</w:t>
                                  </w:r>
                                </w:p>
                              </w:tc>
                              <w:tc>
                                <w:tcPr>
                                  <w:tcW w:w="876" w:type="dxa"/>
                                  <w:vAlign w:val="center"/>
                                </w:tcPr>
                                <w:p w14:paraId="15F0FB62">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Angle</w:t>
                                  </w:r>
                                </w:p>
                              </w:tc>
                              <w:tc>
                                <w:tcPr>
                                  <w:tcW w:w="1321" w:type="dxa"/>
                                  <w:vAlign w:val="center"/>
                                </w:tcPr>
                                <w:p w14:paraId="69649BAE">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B-Field Intensity (mT)</w:t>
                                  </w:r>
                                </w:p>
                              </w:tc>
                            </w:tr>
                            <w:tr w14:paraId="7094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03" w:type="dxa"/>
                                </w:tcPr>
                                <w:p w14:paraId="6BDCF8B4">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Baseline </w:t>
                                  </w:r>
                                </w:p>
                                <w:p w14:paraId="74AB6A72">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(No Phantom)</w:t>
                                  </w:r>
                                </w:p>
                              </w:tc>
                              <w:tc>
                                <w:tcPr>
                                  <w:tcW w:w="1125" w:type="dxa"/>
                                  <w:vAlign w:val="center"/>
                                </w:tcPr>
                                <w:p w14:paraId="1240AE7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876" w:type="dxa"/>
                                  <w:vAlign w:val="center"/>
                                </w:tcPr>
                                <w:p w14:paraId="025736B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321" w:type="dxa"/>
                                  <w:vAlign w:val="center"/>
                                </w:tcPr>
                                <w:p w14:paraId="0F28F14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0.799</w:t>
                                  </w:r>
                                </w:p>
                              </w:tc>
                            </w:tr>
                            <w:tr w14:paraId="0781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3" w:type="dxa"/>
                                </w:tcPr>
                                <w:p w14:paraId="65354C41">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Empty Phantom</w:t>
                                  </w:r>
                                </w:p>
                              </w:tc>
                              <w:tc>
                                <w:tcPr>
                                  <w:tcW w:w="1125" w:type="dxa"/>
                                  <w:vAlign w:val="center"/>
                                </w:tcPr>
                                <w:p w14:paraId="716D813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876" w:type="dxa"/>
                                  <w:vAlign w:val="center"/>
                                </w:tcPr>
                                <w:p w14:paraId="35D2DE8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321" w:type="dxa"/>
                                  <w:vAlign w:val="center"/>
                                </w:tcPr>
                                <w:p w14:paraId="0ABE8CC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0.239</w:t>
                                  </w:r>
                                </w:p>
                              </w:tc>
                            </w:tr>
                            <w:tr w14:paraId="677A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03" w:type="dxa"/>
                                </w:tcPr>
                                <w:p w14:paraId="4DC4CE91">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Saline Phantom</w:t>
                                  </w:r>
                                </w:p>
                              </w:tc>
                              <w:tc>
                                <w:tcPr>
                                  <w:tcW w:w="1125" w:type="dxa"/>
                                  <w:vAlign w:val="center"/>
                                </w:tcPr>
                                <w:p w14:paraId="1E6BC9E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876" w:type="dxa"/>
                                  <w:vAlign w:val="center"/>
                                </w:tcPr>
                                <w:p w14:paraId="071B7E4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321" w:type="dxa"/>
                                  <w:vAlign w:val="center"/>
                                </w:tcPr>
                                <w:p w14:paraId="0BF6365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0.144</w:t>
                                  </w:r>
                                </w:p>
                              </w:tc>
                            </w:tr>
                          </w:tbl>
                          <w:p w14:paraId="44A01E04">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5pt;margin-top:107.95pt;height:116.05pt;width:234.65pt;mso-wrap-distance-bottom:0pt;mso-wrap-distance-top:0pt;z-index:251665408;v-text-anchor:middle;mso-width-relative:page;mso-height-relative:page;" filled="f" stroked="f" coordsize="21600,21600" o:gfxdata="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F1ja/Z&#10;AAAACgEAAA8AAAAAAAAAAQAgAAAAIgAAAGRycy9kb3ducmV2LnhtbFBLAQIUABQAAAAIAIdO4kA3&#10;bW38WAIAAKkEAAAOAAAAAAAAAAEAIAAAACgBAABkcnMvZTJvRG9jLnhtbFBLBQYAAAAABgAGAFkB&#10;AADyBQAAAAA=&#10;">
                <v:fill on="f" focussize="0,0"/>
                <v:stroke on="f" weight="2pt"/>
                <v:imagedata o:title=""/>
                <o:lock v:ext="edit" aspectratio="f"/>
                <v:textbox>
                  <w:txbxContent>
                    <w:p w14:paraId="1D229636">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Tabl</w:t>
                      </w:r>
                      <w:r>
                        <w:rPr>
                          <w:rFonts w:eastAsia="PMingLiU"/>
                          <w:color w:val="000000" w:themeColor="text1"/>
                          <w:lang w:val="en-US"/>
                          <w14:textFill>
                            <w14:solidFill>
                              <w14:schemeClr w14:val="tx1"/>
                            </w14:solidFill>
                          </w14:textFill>
                        </w:rPr>
                        <w:t>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2</w:t>
                      </w:r>
                    </w:p>
                    <w:p w14:paraId="660445DB">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Attenuation Analysis at the Hotspot for Xiaomi Redmi Note 8 Pro</w:t>
                      </w:r>
                    </w:p>
                    <w:tbl>
                      <w:tblPr>
                        <w:tblStyle w:val="8"/>
                        <w:tblW w:w="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125"/>
                        <w:gridCol w:w="876"/>
                        <w:gridCol w:w="1321"/>
                      </w:tblGrid>
                      <w:tr w14:paraId="473B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03" w:type="dxa"/>
                            <w:vAlign w:val="center"/>
                          </w:tcPr>
                          <w:p w14:paraId="0F7B9FA8">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Measurement Condition</w:t>
                            </w:r>
                          </w:p>
                        </w:tc>
                        <w:tc>
                          <w:tcPr>
                            <w:tcW w:w="1125" w:type="dxa"/>
                            <w:vAlign w:val="center"/>
                          </w:tcPr>
                          <w:p w14:paraId="5DBF4AFD">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Position</w:t>
                            </w:r>
                          </w:p>
                        </w:tc>
                        <w:tc>
                          <w:tcPr>
                            <w:tcW w:w="876" w:type="dxa"/>
                            <w:vAlign w:val="center"/>
                          </w:tcPr>
                          <w:p w14:paraId="15F0FB62">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Angle</w:t>
                            </w:r>
                          </w:p>
                        </w:tc>
                        <w:tc>
                          <w:tcPr>
                            <w:tcW w:w="1321" w:type="dxa"/>
                            <w:vAlign w:val="center"/>
                          </w:tcPr>
                          <w:p w14:paraId="69649BAE">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B-Field Intensity (mT)</w:t>
                            </w:r>
                          </w:p>
                        </w:tc>
                      </w:tr>
                      <w:tr w14:paraId="7094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03" w:type="dxa"/>
                          </w:tcPr>
                          <w:p w14:paraId="6BDCF8B4">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Baseline </w:t>
                            </w:r>
                          </w:p>
                          <w:p w14:paraId="74AB6A72">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(No Phantom)</w:t>
                            </w:r>
                          </w:p>
                        </w:tc>
                        <w:tc>
                          <w:tcPr>
                            <w:tcW w:w="1125" w:type="dxa"/>
                            <w:vAlign w:val="center"/>
                          </w:tcPr>
                          <w:p w14:paraId="1240AE7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876" w:type="dxa"/>
                            <w:vAlign w:val="center"/>
                          </w:tcPr>
                          <w:p w14:paraId="025736B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321" w:type="dxa"/>
                            <w:vAlign w:val="center"/>
                          </w:tcPr>
                          <w:p w14:paraId="0F28F143">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0.799</w:t>
                            </w:r>
                          </w:p>
                        </w:tc>
                      </w:tr>
                      <w:tr w14:paraId="0781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03" w:type="dxa"/>
                          </w:tcPr>
                          <w:p w14:paraId="65354C41">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Empty Phantom</w:t>
                            </w:r>
                          </w:p>
                        </w:tc>
                        <w:tc>
                          <w:tcPr>
                            <w:tcW w:w="1125" w:type="dxa"/>
                            <w:vAlign w:val="center"/>
                          </w:tcPr>
                          <w:p w14:paraId="716D813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876" w:type="dxa"/>
                            <w:vAlign w:val="center"/>
                          </w:tcPr>
                          <w:p w14:paraId="35D2DE8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321" w:type="dxa"/>
                            <w:vAlign w:val="center"/>
                          </w:tcPr>
                          <w:p w14:paraId="0ABE8CC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0.239</w:t>
                            </w:r>
                          </w:p>
                        </w:tc>
                      </w:tr>
                      <w:tr w14:paraId="677A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03" w:type="dxa"/>
                          </w:tcPr>
                          <w:p w14:paraId="4DC4CE91">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Saline Phantom</w:t>
                            </w:r>
                          </w:p>
                        </w:tc>
                        <w:tc>
                          <w:tcPr>
                            <w:tcW w:w="1125" w:type="dxa"/>
                            <w:vAlign w:val="center"/>
                          </w:tcPr>
                          <w:p w14:paraId="1E6BC9E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Center</w:t>
                            </w:r>
                          </w:p>
                        </w:tc>
                        <w:tc>
                          <w:tcPr>
                            <w:tcW w:w="876" w:type="dxa"/>
                            <w:vAlign w:val="center"/>
                          </w:tcPr>
                          <w:p w14:paraId="071B7E4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321" w:type="dxa"/>
                            <w:vAlign w:val="center"/>
                          </w:tcPr>
                          <w:p w14:paraId="0BF6365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0.144</w:t>
                            </w:r>
                          </w:p>
                        </w:tc>
                      </w:tr>
                    </w:tbl>
                    <w:p w14:paraId="44A01E04">
                      <w:pPr>
                        <w:jc w:val="center"/>
                        <w:rPr>
                          <w:color w:val="000000" w:themeColor="text1"/>
                          <w14:textFill>
                            <w14:solidFill>
                              <w14:schemeClr w14:val="tx1"/>
                            </w14:solidFill>
                          </w14:textFill>
                        </w:rPr>
                      </w:pPr>
                    </w:p>
                  </w:txbxContent>
                </v:textbox>
                <w10:wrap type="topAndBottom"/>
              </v:rect>
            </w:pict>
          </mc:Fallback>
        </mc:AlternateContent>
      </w:r>
      <w:r>
        <w:t xml:space="preserve">It is instructive to examine the specific measurement results for each device separately before providing a condensed breakdown of the mitigation strategies.  Table </w:t>
      </w:r>
      <w:r>
        <w:rPr>
          <w:lang w:val="en-US"/>
        </w:rPr>
        <w:t>2</w:t>
      </w:r>
      <w:r>
        <w:t xml:space="preserve"> presents the Xiaomi Redmi Note 8 Pro's measurement data, which shows a clear and intense emission profile.  A notable hotspot was detected at the center position with a 90° probe orientation under baseline conditions without a phantom, recording a peak magnetic field intensity of 0.799 mT.  The field at this hotspot was reduced to 0.239 mT by the introduction of the empty PETG shell alone, which resulted in significant attenuation.  The field was further decreased to 0.144 mT when the saline TSL was poured into the phantom. This step-by-step analysis shows that an additional 0.095 mT of attenuation was caused by the saline TSL itself. This decrease is directly related to the liquid's conductive characteristics and the ensuing induction of opposing eddy currents.</w:t>
      </w:r>
    </w:p>
    <w:p w14:paraId="7F5E81CC">
      <w:r>
        <w:rPr>
          <w:sz w:val="20"/>
        </w:rPr>
        <mc:AlternateContent>
          <mc:Choice Requires="wps">
            <w:drawing>
              <wp:anchor distT="0" distB="0" distL="114300" distR="114300" simplePos="0" relativeHeight="251666432" behindDoc="0" locked="0" layoutInCell="1" allowOverlap="1">
                <wp:simplePos x="0" y="0"/>
                <wp:positionH relativeFrom="column">
                  <wp:posOffset>-53975</wp:posOffset>
                </wp:positionH>
                <wp:positionV relativeFrom="paragraph">
                  <wp:posOffset>4453890</wp:posOffset>
                </wp:positionV>
                <wp:extent cx="2954655" cy="3470275"/>
                <wp:effectExtent l="0" t="0" r="0" b="0"/>
                <wp:wrapTopAndBottom/>
                <wp:docPr id="16" name="Rectangles 16"/>
                <wp:cNvGraphicFramePr/>
                <a:graphic xmlns:a="http://schemas.openxmlformats.org/drawingml/2006/main">
                  <a:graphicData uri="http://schemas.microsoft.com/office/word/2010/wordprocessingShape">
                    <wps:wsp>
                      <wps:cNvSpPr/>
                      <wps:spPr>
                        <a:xfrm>
                          <a:off x="888365" y="6326505"/>
                          <a:ext cx="2954655" cy="347027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799457C">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w:t>
                            </w:r>
                            <w:r>
                              <w:rPr>
                                <w:rFonts w:eastAsia="PMingLiU"/>
                                <w:color w:val="000000" w:themeColor="text1"/>
                                <w:lang w:val="en-US"/>
                                <w14:textFill>
                                  <w14:solidFill>
                                    <w14:schemeClr w14:val="tx1"/>
                                  </w14:solidFill>
                                </w14:textFill>
                              </w:rPr>
                              <w:t>le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3</w:t>
                            </w:r>
                          </w:p>
                          <w:p w14:paraId="26EC2031">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 xml:space="preserve">Attenuation Analysis at the Hotspot for </w:t>
                            </w:r>
                            <w:r>
                              <w:rPr>
                                <w:color w:val="000000" w:themeColor="text1"/>
                                <w:lang w:val="en-US"/>
                                <w14:textFill>
                                  <w14:solidFill>
                                    <w14:schemeClr w14:val="tx1"/>
                                  </w14:solidFill>
                                </w14:textFill>
                              </w:rPr>
                              <w:t>Samsung Galaxy S23</w:t>
                            </w:r>
                          </w:p>
                          <w:tbl>
                            <w:tblPr>
                              <w:tblStyle w:val="8"/>
                              <w:tblW w:w="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948"/>
                              <w:gridCol w:w="900"/>
                              <w:gridCol w:w="1237"/>
                            </w:tblGrid>
                            <w:tr w14:paraId="3813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440" w:type="dxa"/>
                                  <w:vAlign w:val="center"/>
                                </w:tcPr>
                                <w:p w14:paraId="3C63A5DD">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Measurement Condition</w:t>
                                  </w:r>
                                </w:p>
                              </w:tc>
                              <w:tc>
                                <w:tcPr>
                                  <w:tcW w:w="948" w:type="dxa"/>
                                  <w:vAlign w:val="center"/>
                                </w:tcPr>
                                <w:p w14:paraId="32C986B9">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Position</w:t>
                                  </w:r>
                                </w:p>
                              </w:tc>
                              <w:tc>
                                <w:tcPr>
                                  <w:tcW w:w="900" w:type="dxa"/>
                                  <w:vAlign w:val="center"/>
                                </w:tcPr>
                                <w:p w14:paraId="75E7834B">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Angle</w:t>
                                  </w:r>
                                </w:p>
                              </w:tc>
                              <w:tc>
                                <w:tcPr>
                                  <w:tcW w:w="1237" w:type="dxa"/>
                                  <w:vAlign w:val="center"/>
                                </w:tcPr>
                                <w:p w14:paraId="1FE55242">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B-Field Intensity (mT)</w:t>
                                  </w:r>
                                </w:p>
                              </w:tc>
                            </w:tr>
                            <w:tr w14:paraId="1995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40" w:type="dxa"/>
                                </w:tcPr>
                                <w:p w14:paraId="6C6D09C7">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Baseline (No Phantom)</w:t>
                                  </w:r>
                                </w:p>
                              </w:tc>
                              <w:tc>
                                <w:tcPr>
                                  <w:tcW w:w="948" w:type="dxa"/>
                                  <w:vAlign w:val="center"/>
                                </w:tcPr>
                                <w:p w14:paraId="159DF56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900" w:type="dxa"/>
                                  <w:vAlign w:val="center"/>
                                </w:tcPr>
                                <w:p w14:paraId="2764F4E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237" w:type="dxa"/>
                                  <w:vAlign w:val="center"/>
                                </w:tcPr>
                                <w:p w14:paraId="5F069F4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0.269</w:t>
                                  </w:r>
                                </w:p>
                              </w:tc>
                            </w:tr>
                            <w:tr w14:paraId="263D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40" w:type="dxa"/>
                                </w:tcPr>
                                <w:p w14:paraId="3E32645C">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Empty Phantom</w:t>
                                  </w:r>
                                </w:p>
                              </w:tc>
                              <w:tc>
                                <w:tcPr>
                                  <w:tcW w:w="948" w:type="dxa"/>
                                  <w:vAlign w:val="center"/>
                                </w:tcPr>
                                <w:p w14:paraId="4B50B28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900" w:type="dxa"/>
                                  <w:vAlign w:val="center"/>
                                </w:tcPr>
                                <w:p w14:paraId="6566F76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237" w:type="dxa"/>
                                  <w:vAlign w:val="center"/>
                                </w:tcPr>
                                <w:p w14:paraId="28082D2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0.119</w:t>
                                  </w:r>
                                </w:p>
                              </w:tc>
                            </w:tr>
                            <w:tr w14:paraId="4741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40" w:type="dxa"/>
                                </w:tcPr>
                                <w:p w14:paraId="0EDCDA2C">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Saline Phantom</w:t>
                                  </w:r>
                                </w:p>
                              </w:tc>
                              <w:tc>
                                <w:tcPr>
                                  <w:tcW w:w="948" w:type="dxa"/>
                                  <w:vAlign w:val="center"/>
                                </w:tcPr>
                                <w:p w14:paraId="45B585E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900" w:type="dxa"/>
                                  <w:vAlign w:val="center"/>
                                </w:tcPr>
                                <w:p w14:paraId="214AB20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237" w:type="dxa"/>
                                  <w:vAlign w:val="center"/>
                                </w:tcPr>
                                <w:p w14:paraId="06260C5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0.109</w:t>
                                  </w:r>
                                </w:p>
                              </w:tc>
                            </w:tr>
                          </w:tbl>
                          <w:p w14:paraId="40AF4149">
                            <w:pPr>
                              <w:rPr>
                                <w:color w:val="000000" w:themeColor="text1"/>
                                <w14:textFill>
                                  <w14:solidFill>
                                    <w14:schemeClr w14:val="tx1"/>
                                  </w14:solidFill>
                                </w14:textFill>
                              </w:rPr>
                            </w:pPr>
                          </w:p>
                          <w:p w14:paraId="1A9656CF">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w:t>
                            </w:r>
                            <w:r>
                              <w:rPr>
                                <w:rFonts w:eastAsia="PMingLiU"/>
                                <w:color w:val="000000" w:themeColor="text1"/>
                                <w:lang w:val="en-US"/>
                                <w14:textFill>
                                  <w14:solidFill>
                                    <w14:schemeClr w14:val="tx1"/>
                                  </w14:solidFill>
                                </w14:textFill>
                              </w:rPr>
                              <w:t>le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4</w:t>
                            </w:r>
                          </w:p>
                          <w:p w14:paraId="4BCA7D72">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Quantitative Decomposition of Attenuation Effects at The Highest Hotspot</w:t>
                            </w:r>
                          </w:p>
                          <w:tbl>
                            <w:tblPr>
                              <w:tblStyle w:val="8"/>
                              <w:tblW w:w="4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586"/>
                              <w:gridCol w:w="1493"/>
                            </w:tblGrid>
                            <w:tr w14:paraId="1EB6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387" w:type="dxa"/>
                                  <w:vAlign w:val="center"/>
                                </w:tcPr>
                                <w:p w14:paraId="7E04BD24">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Parameter</w:t>
                                  </w:r>
                                </w:p>
                              </w:tc>
                              <w:tc>
                                <w:tcPr>
                                  <w:tcW w:w="1586" w:type="dxa"/>
                                  <w:vAlign w:val="center"/>
                                </w:tcPr>
                                <w:p w14:paraId="37C42360">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Xiaomi Redmi Note 8 Pro (Center, 90°)</w:t>
                                  </w:r>
                                </w:p>
                              </w:tc>
                              <w:tc>
                                <w:tcPr>
                                  <w:tcW w:w="1493" w:type="dxa"/>
                                  <w:vAlign w:val="center"/>
                                </w:tcPr>
                                <w:p w14:paraId="195F3B06">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Samsung Galaxy S23 (Left, 90°)</w:t>
                                  </w:r>
                                </w:p>
                              </w:tc>
                            </w:tr>
                            <w:tr w14:paraId="79B5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87" w:type="dxa"/>
                                </w:tcPr>
                                <w:p w14:paraId="542977F3">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 Initial Field (Close Contact)</w:t>
                                  </w:r>
                                </w:p>
                              </w:tc>
                              <w:tc>
                                <w:tcPr>
                                  <w:tcW w:w="1586" w:type="dxa"/>
                                  <w:vAlign w:val="center"/>
                                </w:tcPr>
                                <w:p w14:paraId="66BB6E4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0.799 mT </w:t>
                                  </w:r>
                                </w:p>
                                <w:p w14:paraId="1029917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(100%)</w:t>
                                  </w:r>
                                </w:p>
                              </w:tc>
                              <w:tc>
                                <w:tcPr>
                                  <w:tcW w:w="1493" w:type="dxa"/>
                                  <w:vAlign w:val="center"/>
                                </w:tcPr>
                                <w:p w14:paraId="5EDFC9C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0.269 mT </w:t>
                                  </w:r>
                                </w:p>
                                <w:p w14:paraId="69E7707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(100%)</w:t>
                                  </w:r>
                                </w:p>
                              </w:tc>
                            </w:tr>
                            <w:tr w14:paraId="48C1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387" w:type="dxa"/>
                                </w:tcPr>
                                <w:p w14:paraId="1DE2F192">
                                  <w:pPr>
                                    <w:ind w:firstLine="0"/>
                                    <w:jc w:val="left"/>
                                    <w:rPr>
                                      <w:color w:val="000000" w:themeColor="text1"/>
                                      <w:sz w:val="16"/>
                                      <w:szCs w:val="16"/>
                                      <w:lang w:val="en-US"/>
                                      <w14:textFill>
                                        <w14:solidFill>
                                          <w14:schemeClr w14:val="tx1"/>
                                        </w14:solidFill>
                                      </w14:textFill>
                                    </w:rPr>
                                  </w:pPr>
                                  <w:r>
                                    <w:rPr>
                                      <w:color w:val="000000" w:themeColor="text1"/>
                                      <w:sz w:val="16"/>
                                      <w:szCs w:val="16"/>
                                      <w14:textFill>
                                        <w14:solidFill>
                                          <w14:schemeClr w14:val="tx1"/>
                                        </w14:solidFill>
                                      </w14:textFill>
                                    </w:rPr>
                                    <w:t>2. Field with Total Phantom</w:t>
                                  </w:r>
                                </w:p>
                              </w:tc>
                              <w:tc>
                                <w:tcPr>
                                  <w:tcW w:w="1586" w:type="dxa"/>
                                  <w:vAlign w:val="center"/>
                                </w:tcPr>
                                <w:p w14:paraId="67A4B93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0.144 mT </w:t>
                                  </w:r>
                                </w:p>
                                <w:p w14:paraId="52E3524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(18.0%)</w:t>
                                  </w:r>
                                </w:p>
                              </w:tc>
                              <w:tc>
                                <w:tcPr>
                                  <w:tcW w:w="1493" w:type="dxa"/>
                                  <w:vAlign w:val="center"/>
                                </w:tcPr>
                                <w:p w14:paraId="45A3246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0.109 mT</w:t>
                                  </w:r>
                                </w:p>
                                <w:p w14:paraId="6B1F142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(40.5%)</w:t>
                                  </w:r>
                                </w:p>
                              </w:tc>
                            </w:tr>
                            <w:tr w14:paraId="73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387" w:type="dxa"/>
                                </w:tcPr>
                                <w:p w14:paraId="27D6258F">
                                  <w:pPr>
                                    <w:ind w:firstLine="0"/>
                                    <w:jc w:val="left"/>
                                    <w:rPr>
                                      <w:color w:val="000000" w:themeColor="text1"/>
                                      <w:sz w:val="16"/>
                                      <w:szCs w:val="16"/>
                                      <w:lang w:val="en-US"/>
                                      <w14:textFill>
                                        <w14:solidFill>
                                          <w14:schemeClr w14:val="tx1"/>
                                        </w14:solidFill>
                                      </w14:textFill>
                                    </w:rPr>
                                  </w:pPr>
                                  <w:r>
                                    <w:rPr>
                                      <w:color w:val="000000" w:themeColor="text1"/>
                                      <w:sz w:val="16"/>
                                      <w:szCs w:val="16"/>
                                      <w14:textFill>
                                        <w14:solidFill>
                                          <w14:schemeClr w14:val="tx1"/>
                                        </w14:solidFill>
                                      </w14:textFill>
                                    </w:rPr>
                                    <w:t>3. Field at 15 cm Distance</w:t>
                                  </w:r>
                                </w:p>
                              </w:tc>
                              <w:tc>
                                <w:tcPr>
                                  <w:tcW w:w="1586" w:type="dxa"/>
                                  <w:vAlign w:val="center"/>
                                </w:tcPr>
                                <w:p w14:paraId="14BEC1C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0.074 mT </w:t>
                                  </w:r>
                                </w:p>
                                <w:p w14:paraId="7ECF6D7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(9.3%)</w:t>
                                  </w:r>
                                </w:p>
                              </w:tc>
                              <w:tc>
                                <w:tcPr>
                                  <w:tcW w:w="1493" w:type="dxa"/>
                                  <w:vAlign w:val="center"/>
                                </w:tcPr>
                                <w:p w14:paraId="419313A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0.111 mT </w:t>
                                  </w:r>
                                </w:p>
                                <w:p w14:paraId="22C3E9B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(41.3%)</w:t>
                                  </w:r>
                                </w:p>
                              </w:tc>
                            </w:tr>
                            <w:tr w14:paraId="1D2C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387" w:type="dxa"/>
                                </w:tcPr>
                                <w:p w14:paraId="011CC39F">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Total Attenuation by Phantom (1-2)</w:t>
                                  </w:r>
                                </w:p>
                              </w:tc>
                              <w:tc>
                                <w:tcPr>
                                  <w:tcW w:w="1586" w:type="dxa"/>
                                  <w:vAlign w:val="center"/>
                                </w:tcPr>
                                <w:p w14:paraId="40064FF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0.655 mT </w:t>
                                  </w:r>
                                </w:p>
                                <w:p w14:paraId="573D1EE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(82.0% Reduction)</w:t>
                                  </w:r>
                                </w:p>
                              </w:tc>
                              <w:tc>
                                <w:tcPr>
                                  <w:tcW w:w="1493" w:type="dxa"/>
                                  <w:vAlign w:val="center"/>
                                </w:tcPr>
                                <w:p w14:paraId="6780032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0.160 mT </w:t>
                                  </w:r>
                                </w:p>
                                <w:p w14:paraId="51CF642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(59.5% Reduction)</w:t>
                                  </w:r>
                                </w:p>
                              </w:tc>
                            </w:tr>
                            <w:tr w14:paraId="613C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387" w:type="dxa"/>
                                </w:tcPr>
                                <w:p w14:paraId="1EB28987">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Total Attenuation by Distance (1-3)</w:t>
                                  </w:r>
                                </w:p>
                              </w:tc>
                              <w:tc>
                                <w:tcPr>
                                  <w:tcW w:w="1586" w:type="dxa"/>
                                  <w:vAlign w:val="center"/>
                                </w:tcPr>
                                <w:p w14:paraId="46F9D17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0.725 mT </w:t>
                                  </w:r>
                                </w:p>
                                <w:p w14:paraId="11D8470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(90.7% Reduction)</w:t>
                                  </w:r>
                                </w:p>
                              </w:tc>
                              <w:tc>
                                <w:tcPr>
                                  <w:tcW w:w="1493" w:type="dxa"/>
                                  <w:vAlign w:val="center"/>
                                </w:tcPr>
                                <w:p w14:paraId="5AFEFBA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0.158 mT </w:t>
                                  </w:r>
                                </w:p>
                                <w:p w14:paraId="1EAF944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(58.7% Reduction)</w:t>
                                  </w:r>
                                </w:p>
                              </w:tc>
                            </w:tr>
                          </w:tbl>
                          <w:p w14:paraId="5F8EBFAF">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5pt;margin-top:350.7pt;height:273.25pt;width:232.65pt;mso-wrap-distance-bottom:0pt;mso-wrap-distance-top:0pt;z-index:251666432;v-text-anchor:middle;mso-width-relative:page;mso-height-relative:page;" filled="f" stroked="f" coordsize="21600,21600" o:gfxdata="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fS9Pg&#10;2gAAAAsBAAAPAAAAAAAAAAEAIAAAACIAAABkcnMvZG93bnJldi54bWxQSwECFAAUAAAACACHTuJA&#10;+WBtDFgCAACoBAAADgAAAAAAAAABACAAAAApAQAAZHJzL2Uyb0RvYy54bWxQSwUGAAAAAAYABgBZ&#10;AQAA8wUAAAAA&#10;">
                <v:fill on="f" focussize="0,0"/>
                <v:stroke on="f" weight="2pt"/>
                <v:imagedata o:title=""/>
                <o:lock v:ext="edit" aspectratio="f"/>
                <v:textbox>
                  <w:txbxContent>
                    <w:p w14:paraId="6799457C">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w:t>
                      </w:r>
                      <w:r>
                        <w:rPr>
                          <w:rFonts w:eastAsia="PMingLiU"/>
                          <w:color w:val="000000" w:themeColor="text1"/>
                          <w:lang w:val="en-US"/>
                          <w14:textFill>
                            <w14:solidFill>
                              <w14:schemeClr w14:val="tx1"/>
                            </w14:solidFill>
                          </w14:textFill>
                        </w:rPr>
                        <w:t>le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3</w:t>
                      </w:r>
                    </w:p>
                    <w:p w14:paraId="26EC2031">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 xml:space="preserve">Attenuation Analysis at the Hotspot for </w:t>
                      </w:r>
                      <w:r>
                        <w:rPr>
                          <w:color w:val="000000" w:themeColor="text1"/>
                          <w:lang w:val="en-US"/>
                          <w14:textFill>
                            <w14:solidFill>
                              <w14:schemeClr w14:val="tx1"/>
                            </w14:solidFill>
                          </w14:textFill>
                        </w:rPr>
                        <w:t>Samsung Galaxy S23</w:t>
                      </w:r>
                    </w:p>
                    <w:tbl>
                      <w:tblPr>
                        <w:tblStyle w:val="8"/>
                        <w:tblW w:w="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948"/>
                        <w:gridCol w:w="900"/>
                        <w:gridCol w:w="1237"/>
                      </w:tblGrid>
                      <w:tr w14:paraId="3813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440" w:type="dxa"/>
                            <w:vAlign w:val="center"/>
                          </w:tcPr>
                          <w:p w14:paraId="3C63A5DD">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Measurement Condition</w:t>
                            </w:r>
                          </w:p>
                        </w:tc>
                        <w:tc>
                          <w:tcPr>
                            <w:tcW w:w="948" w:type="dxa"/>
                            <w:vAlign w:val="center"/>
                          </w:tcPr>
                          <w:p w14:paraId="32C986B9">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Position</w:t>
                            </w:r>
                          </w:p>
                        </w:tc>
                        <w:tc>
                          <w:tcPr>
                            <w:tcW w:w="900" w:type="dxa"/>
                            <w:vAlign w:val="center"/>
                          </w:tcPr>
                          <w:p w14:paraId="75E7834B">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Angle</w:t>
                            </w:r>
                          </w:p>
                        </w:tc>
                        <w:tc>
                          <w:tcPr>
                            <w:tcW w:w="1237" w:type="dxa"/>
                            <w:vAlign w:val="center"/>
                          </w:tcPr>
                          <w:p w14:paraId="1FE55242">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B-Field Intensity (mT)</w:t>
                            </w:r>
                          </w:p>
                        </w:tc>
                      </w:tr>
                      <w:tr w14:paraId="1995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40" w:type="dxa"/>
                          </w:tcPr>
                          <w:p w14:paraId="6C6D09C7">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Baseline (No Phantom)</w:t>
                            </w:r>
                          </w:p>
                        </w:tc>
                        <w:tc>
                          <w:tcPr>
                            <w:tcW w:w="948" w:type="dxa"/>
                            <w:vAlign w:val="center"/>
                          </w:tcPr>
                          <w:p w14:paraId="159DF56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900" w:type="dxa"/>
                            <w:vAlign w:val="center"/>
                          </w:tcPr>
                          <w:p w14:paraId="2764F4E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237" w:type="dxa"/>
                            <w:vAlign w:val="center"/>
                          </w:tcPr>
                          <w:p w14:paraId="5F069F4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0.269</w:t>
                            </w:r>
                          </w:p>
                        </w:tc>
                      </w:tr>
                      <w:tr w14:paraId="263D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40" w:type="dxa"/>
                          </w:tcPr>
                          <w:p w14:paraId="3E32645C">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Empty Phantom</w:t>
                            </w:r>
                          </w:p>
                        </w:tc>
                        <w:tc>
                          <w:tcPr>
                            <w:tcW w:w="948" w:type="dxa"/>
                            <w:vAlign w:val="center"/>
                          </w:tcPr>
                          <w:p w14:paraId="4B50B28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900" w:type="dxa"/>
                            <w:vAlign w:val="center"/>
                          </w:tcPr>
                          <w:p w14:paraId="6566F76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237" w:type="dxa"/>
                            <w:vAlign w:val="center"/>
                          </w:tcPr>
                          <w:p w14:paraId="28082D2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0.119</w:t>
                            </w:r>
                          </w:p>
                        </w:tc>
                      </w:tr>
                      <w:tr w14:paraId="4741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440" w:type="dxa"/>
                          </w:tcPr>
                          <w:p w14:paraId="0EDCDA2C">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With Saline Phantom</w:t>
                            </w:r>
                          </w:p>
                        </w:tc>
                        <w:tc>
                          <w:tcPr>
                            <w:tcW w:w="948" w:type="dxa"/>
                            <w:vAlign w:val="center"/>
                          </w:tcPr>
                          <w:p w14:paraId="45B585E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Left</w:t>
                            </w:r>
                          </w:p>
                        </w:tc>
                        <w:tc>
                          <w:tcPr>
                            <w:tcW w:w="900" w:type="dxa"/>
                            <w:vAlign w:val="center"/>
                          </w:tcPr>
                          <w:p w14:paraId="214AB200">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w:t>
                            </w:r>
                          </w:p>
                        </w:tc>
                        <w:tc>
                          <w:tcPr>
                            <w:tcW w:w="1237" w:type="dxa"/>
                            <w:vAlign w:val="center"/>
                          </w:tcPr>
                          <w:p w14:paraId="06260C56">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0.109</w:t>
                            </w:r>
                          </w:p>
                        </w:tc>
                      </w:tr>
                    </w:tbl>
                    <w:p w14:paraId="40AF4149">
                      <w:pPr>
                        <w:rPr>
                          <w:color w:val="000000" w:themeColor="text1"/>
                          <w14:textFill>
                            <w14:solidFill>
                              <w14:schemeClr w14:val="tx1"/>
                            </w14:solidFill>
                          </w14:textFill>
                        </w:rPr>
                      </w:pPr>
                    </w:p>
                    <w:p w14:paraId="1A9656CF">
                      <w:pPr>
                        <w:pStyle w:val="50"/>
                        <w:rPr>
                          <w:color w:val="000000" w:themeColor="text1"/>
                          <w:lang w:val="en-US"/>
                          <w14:textFill>
                            <w14:solidFill>
                              <w14:schemeClr w14:val="tx1"/>
                            </w14:solidFill>
                          </w14:textFill>
                        </w:rPr>
                      </w:pPr>
                      <w:r>
                        <w:rPr>
                          <w:rFonts w:eastAsia="PMingLiU"/>
                          <w:color w:val="000000" w:themeColor="text1"/>
                          <w:lang w:val="id-ID"/>
                          <w14:textFill>
                            <w14:solidFill>
                              <w14:schemeClr w14:val="tx1"/>
                            </w14:solidFill>
                          </w14:textFill>
                        </w:rPr>
                        <w:t>Tab</w:t>
                      </w:r>
                      <w:r>
                        <w:rPr>
                          <w:rFonts w:eastAsia="PMingLiU"/>
                          <w:color w:val="000000" w:themeColor="text1"/>
                          <w:lang w:val="en-US"/>
                          <w14:textFill>
                            <w14:solidFill>
                              <w14:schemeClr w14:val="tx1"/>
                            </w14:solidFill>
                          </w14:textFill>
                        </w:rPr>
                        <w:t>le</w:t>
                      </w:r>
                      <w:r>
                        <w:rPr>
                          <w:rFonts w:eastAsia="PMingLiU"/>
                          <w:color w:val="000000" w:themeColor="text1"/>
                          <w:lang w:val="id-ID"/>
                          <w14:textFill>
                            <w14:solidFill>
                              <w14:schemeClr w14:val="tx1"/>
                            </w14:solidFill>
                          </w14:textFill>
                        </w:rPr>
                        <w:t xml:space="preserve"> </w:t>
                      </w:r>
                      <w:r>
                        <w:rPr>
                          <w:rFonts w:eastAsia="PMingLiU"/>
                          <w:color w:val="000000" w:themeColor="text1"/>
                          <w:lang w:val="en-US"/>
                          <w14:textFill>
                            <w14:solidFill>
                              <w14:schemeClr w14:val="tx1"/>
                            </w14:solidFill>
                          </w14:textFill>
                        </w:rPr>
                        <w:t>4</w:t>
                      </w:r>
                    </w:p>
                    <w:p w14:paraId="4BCA7D72">
                      <w:pPr>
                        <w:pStyle w:val="50"/>
                        <w:rPr>
                          <w:color w:val="000000" w:themeColor="text1"/>
                          <w:lang w:val="en-US"/>
                          <w14:textFill>
                            <w14:solidFill>
                              <w14:schemeClr w14:val="tx1"/>
                            </w14:solidFill>
                          </w14:textFill>
                        </w:rPr>
                      </w:pPr>
                      <w:r>
                        <w:rPr>
                          <w:color w:val="000000" w:themeColor="text1"/>
                          <w14:textFill>
                            <w14:solidFill>
                              <w14:schemeClr w14:val="tx1"/>
                            </w14:solidFill>
                          </w14:textFill>
                        </w:rPr>
                        <w:t>Quantitative Decomposition of Attenuation Effects at The Highest Hotspot</w:t>
                      </w:r>
                    </w:p>
                    <w:tbl>
                      <w:tblPr>
                        <w:tblStyle w:val="8"/>
                        <w:tblW w:w="4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586"/>
                        <w:gridCol w:w="1493"/>
                      </w:tblGrid>
                      <w:tr w14:paraId="1EB6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387" w:type="dxa"/>
                            <w:vAlign w:val="center"/>
                          </w:tcPr>
                          <w:p w14:paraId="7E04BD24">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Parameter</w:t>
                            </w:r>
                          </w:p>
                        </w:tc>
                        <w:tc>
                          <w:tcPr>
                            <w:tcW w:w="1586" w:type="dxa"/>
                            <w:vAlign w:val="center"/>
                          </w:tcPr>
                          <w:p w14:paraId="37C42360">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Xiaomi Redmi Note 8 Pro (Center, 90°)</w:t>
                            </w:r>
                          </w:p>
                        </w:tc>
                        <w:tc>
                          <w:tcPr>
                            <w:tcW w:w="1493" w:type="dxa"/>
                            <w:vAlign w:val="center"/>
                          </w:tcPr>
                          <w:p w14:paraId="195F3B06">
                            <w:pPr>
                              <w:ind w:firstLine="0"/>
                              <w:jc w:val="center"/>
                              <w:rPr>
                                <w:b/>
                                <w:color w:val="000000" w:themeColor="text1"/>
                                <w:sz w:val="16"/>
                                <w:szCs w:val="16"/>
                                <w:lang w:val="en-US"/>
                                <w14:textFill>
                                  <w14:solidFill>
                                    <w14:schemeClr w14:val="tx1"/>
                                  </w14:solidFill>
                                </w14:textFill>
                              </w:rPr>
                            </w:pPr>
                            <w:r>
                              <w:rPr>
                                <w:b/>
                                <w:color w:val="000000" w:themeColor="text1"/>
                                <w:sz w:val="16"/>
                                <w:szCs w:val="16"/>
                                <w:lang w:val="en-US"/>
                                <w14:textFill>
                                  <w14:solidFill>
                                    <w14:schemeClr w14:val="tx1"/>
                                  </w14:solidFill>
                                </w14:textFill>
                              </w:rPr>
                              <w:t>Samsung Galaxy S23 (Left, 90°)</w:t>
                            </w:r>
                          </w:p>
                        </w:tc>
                      </w:tr>
                      <w:tr w14:paraId="79B5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87" w:type="dxa"/>
                          </w:tcPr>
                          <w:p w14:paraId="542977F3">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 Initial Field (Close Contact)</w:t>
                            </w:r>
                          </w:p>
                        </w:tc>
                        <w:tc>
                          <w:tcPr>
                            <w:tcW w:w="1586" w:type="dxa"/>
                            <w:vAlign w:val="center"/>
                          </w:tcPr>
                          <w:p w14:paraId="66BB6E4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0.799 mT </w:t>
                            </w:r>
                          </w:p>
                          <w:p w14:paraId="10299178">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(100%)</w:t>
                            </w:r>
                          </w:p>
                        </w:tc>
                        <w:tc>
                          <w:tcPr>
                            <w:tcW w:w="1493" w:type="dxa"/>
                            <w:vAlign w:val="center"/>
                          </w:tcPr>
                          <w:p w14:paraId="5EDFC9C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0.269 mT </w:t>
                            </w:r>
                          </w:p>
                          <w:p w14:paraId="69E7707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(100%)</w:t>
                            </w:r>
                          </w:p>
                        </w:tc>
                      </w:tr>
                      <w:tr w14:paraId="48C1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387" w:type="dxa"/>
                          </w:tcPr>
                          <w:p w14:paraId="1DE2F192">
                            <w:pPr>
                              <w:ind w:firstLine="0"/>
                              <w:jc w:val="left"/>
                              <w:rPr>
                                <w:color w:val="000000" w:themeColor="text1"/>
                                <w:sz w:val="16"/>
                                <w:szCs w:val="16"/>
                                <w:lang w:val="en-US"/>
                                <w14:textFill>
                                  <w14:solidFill>
                                    <w14:schemeClr w14:val="tx1"/>
                                  </w14:solidFill>
                                </w14:textFill>
                              </w:rPr>
                            </w:pPr>
                            <w:r>
                              <w:rPr>
                                <w:color w:val="000000" w:themeColor="text1"/>
                                <w:sz w:val="16"/>
                                <w:szCs w:val="16"/>
                                <w14:textFill>
                                  <w14:solidFill>
                                    <w14:schemeClr w14:val="tx1"/>
                                  </w14:solidFill>
                                </w14:textFill>
                              </w:rPr>
                              <w:t>2. Field with Total Phantom</w:t>
                            </w:r>
                          </w:p>
                        </w:tc>
                        <w:tc>
                          <w:tcPr>
                            <w:tcW w:w="1586" w:type="dxa"/>
                            <w:vAlign w:val="center"/>
                          </w:tcPr>
                          <w:p w14:paraId="67A4B93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0.144 mT </w:t>
                            </w:r>
                          </w:p>
                          <w:p w14:paraId="52E3524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(18.0%)</w:t>
                            </w:r>
                          </w:p>
                        </w:tc>
                        <w:tc>
                          <w:tcPr>
                            <w:tcW w:w="1493" w:type="dxa"/>
                            <w:vAlign w:val="center"/>
                          </w:tcPr>
                          <w:p w14:paraId="45A3246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0.109 mT</w:t>
                            </w:r>
                          </w:p>
                          <w:p w14:paraId="6B1F1421">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(40.5%)</w:t>
                            </w:r>
                          </w:p>
                        </w:tc>
                      </w:tr>
                      <w:tr w14:paraId="73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387" w:type="dxa"/>
                          </w:tcPr>
                          <w:p w14:paraId="27D6258F">
                            <w:pPr>
                              <w:ind w:firstLine="0"/>
                              <w:jc w:val="left"/>
                              <w:rPr>
                                <w:color w:val="000000" w:themeColor="text1"/>
                                <w:sz w:val="16"/>
                                <w:szCs w:val="16"/>
                                <w:lang w:val="en-US"/>
                                <w14:textFill>
                                  <w14:solidFill>
                                    <w14:schemeClr w14:val="tx1"/>
                                  </w14:solidFill>
                                </w14:textFill>
                              </w:rPr>
                            </w:pPr>
                            <w:r>
                              <w:rPr>
                                <w:color w:val="000000" w:themeColor="text1"/>
                                <w:sz w:val="16"/>
                                <w:szCs w:val="16"/>
                                <w14:textFill>
                                  <w14:solidFill>
                                    <w14:schemeClr w14:val="tx1"/>
                                  </w14:solidFill>
                                </w14:textFill>
                              </w:rPr>
                              <w:t>3. Field at 15 cm Distance</w:t>
                            </w:r>
                          </w:p>
                        </w:tc>
                        <w:tc>
                          <w:tcPr>
                            <w:tcW w:w="1586" w:type="dxa"/>
                            <w:vAlign w:val="center"/>
                          </w:tcPr>
                          <w:p w14:paraId="14BEC1C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0.074 mT </w:t>
                            </w:r>
                          </w:p>
                          <w:p w14:paraId="7ECF6D7D">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(9.3%)</w:t>
                            </w:r>
                          </w:p>
                        </w:tc>
                        <w:tc>
                          <w:tcPr>
                            <w:tcW w:w="1493" w:type="dxa"/>
                            <w:vAlign w:val="center"/>
                          </w:tcPr>
                          <w:p w14:paraId="419313A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0.111 mT </w:t>
                            </w:r>
                          </w:p>
                          <w:p w14:paraId="22C3E9B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(41.3%)</w:t>
                            </w:r>
                          </w:p>
                        </w:tc>
                      </w:tr>
                      <w:tr w14:paraId="1D2C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387" w:type="dxa"/>
                          </w:tcPr>
                          <w:p w14:paraId="011CC39F">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Total Attenuation by Phantom (1-2)</w:t>
                            </w:r>
                          </w:p>
                        </w:tc>
                        <w:tc>
                          <w:tcPr>
                            <w:tcW w:w="1586" w:type="dxa"/>
                            <w:vAlign w:val="center"/>
                          </w:tcPr>
                          <w:p w14:paraId="40064FF2">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0.655 mT </w:t>
                            </w:r>
                          </w:p>
                          <w:p w14:paraId="573D1EEE">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(82.0% Reduction)</w:t>
                            </w:r>
                          </w:p>
                        </w:tc>
                        <w:tc>
                          <w:tcPr>
                            <w:tcW w:w="1493" w:type="dxa"/>
                            <w:vAlign w:val="center"/>
                          </w:tcPr>
                          <w:p w14:paraId="6780032B">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0.160 mT </w:t>
                            </w:r>
                          </w:p>
                          <w:p w14:paraId="51CF642C">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(59.5% Reduction)</w:t>
                            </w:r>
                          </w:p>
                        </w:tc>
                      </w:tr>
                      <w:tr w14:paraId="613C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387" w:type="dxa"/>
                          </w:tcPr>
                          <w:p w14:paraId="1EB28987">
                            <w:pPr>
                              <w:ind w:firstLine="0"/>
                              <w:jc w:val="left"/>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Total Attenuation by Distance (1-3)</w:t>
                            </w:r>
                          </w:p>
                        </w:tc>
                        <w:tc>
                          <w:tcPr>
                            <w:tcW w:w="1586" w:type="dxa"/>
                            <w:vAlign w:val="center"/>
                          </w:tcPr>
                          <w:p w14:paraId="46F9D17A">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0.725 mT </w:t>
                            </w:r>
                          </w:p>
                          <w:p w14:paraId="11D8470F">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(90.7% Reduction)</w:t>
                            </w:r>
                          </w:p>
                        </w:tc>
                        <w:tc>
                          <w:tcPr>
                            <w:tcW w:w="1493" w:type="dxa"/>
                            <w:vAlign w:val="center"/>
                          </w:tcPr>
                          <w:p w14:paraId="5AFEFBA7">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 xml:space="preserve">0.158 mT </w:t>
                            </w:r>
                          </w:p>
                          <w:p w14:paraId="1EAF9445">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(58.7% Reduction)</w:t>
                            </w:r>
                          </w:p>
                        </w:tc>
                      </w:tr>
                    </w:tbl>
                    <w:p w14:paraId="5F8EBFAF">
                      <w:pPr>
                        <w:jc w:val="center"/>
                        <w:rPr>
                          <w:color w:val="000000" w:themeColor="text1"/>
                          <w14:textFill>
                            <w14:solidFill>
                              <w14:schemeClr w14:val="tx1"/>
                            </w14:solidFill>
                          </w14:textFill>
                        </w:rPr>
                      </w:pPr>
                    </w:p>
                  </w:txbxContent>
                </v:textbox>
                <w10:wrap type="topAndBottom"/>
              </v:rect>
            </w:pict>
          </mc:Fallback>
        </mc:AlternateContent>
      </w:r>
      <w:r>
        <w:t xml:space="preserve">The Samsung Galaxy S23, on the other hand, showed a radically different and lower-intensity emission profile, as shown in Table </w:t>
      </w:r>
      <w:r>
        <w:rPr>
          <w:lang w:val="en-US"/>
        </w:rPr>
        <w:t>3</w:t>
      </w:r>
      <w:r>
        <w:t>.  Its peak emission, measured at a 90° orientation on the left, was 0.269 mT, which is almost three times less than the Xiaomi device's peak emission. This peak value was lowered to 0.119 mT by the empty phantom and to 0.109 mT by the full saline-filled phantom.  This indicates that the saline TSL only contributed 0.010 mT of additional attenuation. Faraday's law of induction is consistent with this less notable effect; the Samsung device's weaker initial magnetic field caused less significant eddy currents in the conductive liquid, which led to a smaller shielding contribution from the TSL than the Xiaomi device.  The context required for the subsequent condensed quantitative analysis is supplied by these individual device results.</w:t>
      </w:r>
    </w:p>
    <w:p w14:paraId="0D64484B">
      <w:r>
        <w:t xml:space="preserve">Table </w:t>
      </w:r>
      <w:r>
        <w:rPr>
          <w:lang w:val="en-US"/>
        </w:rPr>
        <w:t>4</w:t>
      </w:r>
      <w:r>
        <w:t xml:space="preserve"> presents a quantitative decomposition of the attenuation effects at the highest identified hotspot for each device, allowing for a direct comparison of the effectiveness of mitigation strategies.</w:t>
      </w:r>
    </w:p>
    <w:p w14:paraId="63DBBD4D">
      <w:r>
        <w:t xml:space="preserve">The data in Table </w:t>
      </w:r>
      <w:r>
        <w:rPr>
          <w:lang w:val="en-US"/>
        </w:rPr>
        <w:t>4</w:t>
      </w:r>
      <w:r>
        <w:t xml:space="preserve"> reveal several crucial findings. First, the complete phantom system (PETG shell and saline TSL) proved highly effective at reducing exposure, achieving an attenuation rate of 82.0% for the Xiaomi device. The attenuation mechanism is twofold: minor reflection and absorption by the dielectric PETG shell, and the induction of eddy currents by the conductive saline TSL. According to Lenz’s Law, these eddy currents generate a secondary magnetic field that opposes the primary field from the phone, causing further attenuation.  Notably,  the absolute attenuation provided by the TSL was more pronounced for the Xiaomi device, consistent with Faraday's law of induction,  dictating that the strength of the induced eddy currents—and thus the opposing magnetic field they generate—is proportional to the rate of change of the primary magnetic flux. On the other hand, because the Xiaomi device induced more substantial eddy currents in the conductive saline, it resulted in a more significant shielding effect.</w:t>
      </w:r>
    </w:p>
    <w:p w14:paraId="090CE448">
      <w:pPr>
        <w:rPr>
          <w:lang w:val="en-US"/>
        </w:rPr>
      </w:pPr>
      <w:r>
        <w:t>However, the most significant finding pertains to the comparison between the phantom's effectiveness and that of physical distance. For the Xiaomi device, maintaining a distance of just 15 cm resulted in an attenuation of 90.7%, surpassing the attenuation achieved by the material-based phantom. This provides compelling quantitative evidence that for ELF magnetic field exposure in the near-field region, spatial separation is the most superior and practical mitigation strategy for users</w:t>
      </w:r>
      <w:r>
        <w:rPr>
          <w:lang w:val="en-US"/>
        </w:rPr>
        <w:t xml:space="preserve"> </w:t>
      </w:r>
      <w:r>
        <w:fldChar w:fldCharType="begin" w:fldLock="1"/>
      </w:r>
      <w:r>
        <w:instrText xml:space="preserve">ADDIN CSL_CITATION {"citationItems":[{"id":"ITEM-1","itemData":{"DOI":"10.1002/bem.20271","ISSN":"1521186X","PMID":"17203479","abstract":"The complex permittivity of aqueous solutions at 20°C has been measured at concentrations between 0.001 and 5 mol/L and over a frequency range 0.13-20 GHz. The results were combined with literature values to derive empirical equations to predict the dielectric behavior of sodium chloride solutions between 0 and 5 mol/L and 5°C-35°C. © 2007 Wiley-Liss, Inc.","author":[{"dropping-particle":"","family":"Peyman","given":"A.","non-dropping-particle":"","parse-names":false,"suffix":""},{"dropping-particle":"","family":"Gabriel","given":"C.","non-dropping-particle":"","parse-names":false,"suffix":""},{"dropping-particle":"","family":"Grant","given":"E. H.","non-dropping-particle":"","parse-names":false,"suffix":""}],"container-title":"Bioelectromagnetics","id":"ITEM-1","issue":"4","issued":{"date-parts":[["2007"]]},"page":"264-274","title":"Complex permittivity of sodium chloride solutions at microwave frequencies","type":"article-journal","volume":"28"},"uris":["http://www.mendeley.com/documents/?uuid=5a6cc7c6-be3f-46a0-b2f4-7d3a82ae3147"]},{"id":"ITEM-2","itemData":{"DOI":"10.1002/bem.10123","ISSN":"01978462","PMID":"12929161","abstract":"The dielectric properties of gray matter in the frequency range of 800-2450 MHz were measured on 20 human brains immediately after excision, less than 10 h after death. The brains were obtained during autopsy of 10 male and 10 female humans who died at ages between 47.5 and 87.5 years [70.4 ± 9. 8 years, mean ± standard deviation (SD)]. The tissue temperature at the measurement sites ranged between 18 and 25 °C (21.35 ± 1.6 °C, mean ± SD). On each brain, four specific locations on the temporal lobe were measured on the right and left sides, i.e., 160 different measurements of the dielectric properties were performed. The dielectric probe was placed on the intact arachnoid on a gyrus in the selected area. The measurements yielded a mean value (±SD) of gray matter equivalent conductivity of 1.13 ± 0.12 and 2.09 ± 0.16 S/m at 800 and 2450 MHz, respectively. The mean value of measured relative permittivity was 58.2 ± 3.3 and 54.7 ± 3.3 at 800 and 2450 MHz, respectively. Taking into account a positive temperature coefficient of equivalent conductivity, these measurements indicate that the equivalent conductivity of human gray matter at body temperature is somewhat higher than today's generally accepted value, which is based on measurements on animal tissue and excised samples of human tissue measured more than 24 h postmortem. © 2003 Wiley-Liss, Inc.","author":[{"dropping-particle":"","family":"Schmid","given":"Gernot","non-dropping-particle":"","parse-names":false,"suffix":""},{"dropping-particle":"","family":"Neubauer","given":"Georg","non-dropping-particle":"","parse-names":false,"suffix":""},{"dropping-particle":"","family":"Mazal","given":"Peter R.","non-dropping-particle":"","parse-names":false,"suffix":""}],"container-title":"Bioelectromagnetics","id":"ITEM-2","issue":"6","issued":{"date-parts":[["2003"]]},"page":"423-430","title":"Dielectric Properties of Human Brain Tissue Measured Less Than 10 h Postmortem at Frequencies from 800 to 2450 MHz","type":"article-journal","volume":"24"},"uris":["http://www.mendeley.com/documents/?uuid=92117776-5c1f-4792-b93d-72a626863a28"]}],"mendeley":{"formattedCitation":"[10], [11]","plainTextFormattedCitation":"[10], [11]","previouslyFormattedCitation":"[11], [12]"},"properties":{"noteIndex":0},"schema":"https://github.com/citation-style-language/schema/raw/master/csl-citation.json"}</w:instrText>
      </w:r>
      <w:r>
        <w:fldChar w:fldCharType="separate"/>
      </w:r>
      <w:r>
        <w:t>[10], [11]</w:t>
      </w:r>
      <w:r>
        <w:fldChar w:fldCharType="end"/>
      </w:r>
      <w:r>
        <w:rPr>
          <w:lang w:val="en-US"/>
        </w:rPr>
        <w:t xml:space="preserve">. This finding resonates with the exposimetric comparisons, which suggest that for near-field sources, spatial separation remains the most practical and effective "filter" for user exposure, often outperforming material-based shielding solutions in real-world scenarios </w:t>
      </w:r>
      <w:r>
        <w:rPr>
          <w:lang w:val="en-US"/>
        </w:rPr>
        <w:fldChar w:fldCharType="begin" w:fldLock="1"/>
      </w:r>
      <w:r>
        <w:rPr>
          <w:lang w:val="en-US"/>
        </w:rPr>
        <w:instrText xml:space="preserve">ADDIN CSL_CITATION {"citationItems":[{"id":"ITEM-1","itemData":{"DOI":"10.3390/technologies11050113","ISSN":"22277080","abstract":"To gain a deeper understanding of the hotly contested topic of the non-thermal biological effects of microwaves, new metrics and methodologies need to be adopted. The direction proposed in the current work, which includes peak exposure analysis and not just time-averaged analysis, aligns well with this objective. The proposed methodology is not intended to facilitate a comparison of the general characteristics between 4G and 5G mobile communication signals. Instead, its purpose is to provide a means for analyzing specific real-life exposure conditions that may vary based on multiple parameters. A differentiation based on amplitude-time features of the 4G versus 5G signals is followed, with the aim of describing the peculiarities of a user’s exposure when he runs four types of mobile applications on his mobile phone on either of the two mobile networks. To achieve the goals, we used signal and spectrum analyzers with adequate real-time analysis bandwidths and statistical descriptions provided by the amplitude probability density (APD) function, the complementary cumulative distribution function (CCDF), channel power measurements, and recorded spectrogram databases. We compared the exposimetric descriptors of emissions specific to file download, file upload, Internet video streaming, and video call usage in both 4G and 5G networks based on the specific modulation and coding schemes. The highest and lowest electric field strengths measured in the air at a 10 cm distance from the phone during emissions are indicated. The power distribution functions with the highest prevalence are highlighted and commented on. Afterwards, the capability of a convolutional neural network that belongs to the family of single-shot detectors is proven to recognize and classify the emissions with a very high degree of accuracy, enabling traceability of the dynamics of human exposure.","author":[{"dropping-particle":"","family":"Miclaus","given":"Simona","non-dropping-particle":"","parse-names":false,"suffix":""},{"dropping-particle":"","family":"Deaconescu","given":"Delia B.","non-dropping-particle":"","parse-names":false,"suffix":""},{"dropping-particle":"","family":"Vatamanu","given":"David","non-dropping-particle":"","parse-names":false,"suffix":""},{"dropping-particle":"","family":"Buda","given":"Andreea M.","non-dropping-particle":"","parse-names":false,"suffix":""}],"container-title":"Technologies","id":"ITEM-1","issue":"5","issued":{"date-parts":[["2023"]]},"title":"An Exposimetric Electromagnetic Comparison of Mobile Phone Emissions: 5G versus 4G Signals Analyses by Means of Statistics and Convolutional Neural Networks Classification","type":"article-journal","volume":"11"},"uris":["http://www.mendeley.com/documents/?uuid=b9ec74ca-80c3-41a0-8690-a67708152986"]}],"mendeley":{"formattedCitation":"[4]","plainTextFormattedCitation":"[4]","previouslyFormattedCitation":"[4]"},"properties":{"noteIndex":0},"schema":"https://github.com/citation-style-language/schema/raw/master/csl-citation.json"}</w:instrText>
      </w:r>
      <w:r>
        <w:rPr>
          <w:lang w:val="en-US"/>
        </w:rPr>
        <w:fldChar w:fldCharType="separate"/>
      </w:r>
      <w:r>
        <w:rPr>
          <w:lang w:val="en-US"/>
        </w:rPr>
        <w:t>[4]</w:t>
      </w:r>
      <w:r>
        <w:rPr>
          <w:lang w:val="en-US"/>
        </w:rPr>
        <w:fldChar w:fldCharType="end"/>
      </w:r>
      <w:r>
        <w:rPr>
          <w:lang w:val="en-US"/>
        </w:rPr>
        <w:t>.</w:t>
      </w:r>
    </w:p>
    <w:p w14:paraId="4E8DD775">
      <w:pPr>
        <w:rPr>
          <w:rFonts w:hint="default"/>
          <w:lang w:val="en-US"/>
        </w:rPr>
      </w:pPr>
      <w:r>
        <w:rPr>
          <w:lang w:val="en-US"/>
        </w:rPr>
        <w:t>The comparative bar chart in Figure 4 visually illustrates the efficacy of the mitigation strategies. For the Xiaomi device, the reduction from the initial 'Close Contact' bar to the '15 cm Distance' bar (a 90.7% decrease) is markedly larger than the reduction to the 'With Phantom' bar (an 82.0% decrease). This visualization obviously underscores the paper's central finding: for near-field ELF magnetic fields, spatial separation is a more dominant and effective mitigation factor than the introduction of a material-based shield. (or the dominant capacity of spatial separation as an effective mitigation of ELF exposure)</w:t>
      </w:r>
      <w:r>
        <w:rPr>
          <w:rFonts w:hint="default"/>
          <w:lang w:val="en-US"/>
        </w:rPr>
        <w:t>.</w:t>
      </w:r>
    </w:p>
    <w:p w14:paraId="4E9E5860">
      <w:pPr>
        <w:pStyle w:val="3"/>
        <w:numPr>
          <w:ilvl w:val="0"/>
          <w:numId w:val="9"/>
        </w:numPr>
        <w:rPr>
          <w:rStyle w:val="38"/>
          <w:color w:val="000000" w:themeColor="text1"/>
          <w:lang w:val="en-US"/>
          <w14:textFill>
            <w14:solidFill>
              <w14:schemeClr w14:val="tx1"/>
            </w14:solidFill>
          </w14:textFill>
        </w:rPr>
      </w:pPr>
      <w:r>
        <w:rPr>
          <w:rStyle w:val="38"/>
          <w:color w:val="000000" w:themeColor="text1"/>
          <w:lang w:val="en-US"/>
          <w14:textFill>
            <w14:solidFill>
              <w14:schemeClr w14:val="tx1"/>
            </w14:solidFill>
          </w14:textFill>
        </w:rPr>
        <w:t>Validation of Near-Field Characteristics and Implications for Safety Standards</w:t>
      </w:r>
    </w:p>
    <w:p w14:paraId="35B410D5">
      <w:pPr>
        <w:rPr>
          <w:color w:val="000000" w:themeColor="text1"/>
          <w:lang w:val="en-GB"/>
          <w14:textFill>
            <w14:solidFill>
              <w14:schemeClr w14:val="tx1"/>
            </w14:solidFill>
          </w14:textFill>
        </w:rPr>
      </w:pPr>
      <w:r>
        <w:rPr>
          <w:sz w:val="20"/>
        </w:rPr>
        <mc:AlternateContent>
          <mc:Choice Requires="wps">
            <w:drawing>
              <wp:anchor distT="0" distB="0" distL="114300" distR="114300" simplePos="0" relativeHeight="251668480" behindDoc="0" locked="0" layoutInCell="1" allowOverlap="1">
                <wp:simplePos x="0" y="0"/>
                <wp:positionH relativeFrom="column">
                  <wp:posOffset>-39370</wp:posOffset>
                </wp:positionH>
                <wp:positionV relativeFrom="paragraph">
                  <wp:posOffset>1100455</wp:posOffset>
                </wp:positionV>
                <wp:extent cx="2903220" cy="2200910"/>
                <wp:effectExtent l="0" t="0" r="0" b="0"/>
                <wp:wrapTopAndBottom/>
                <wp:docPr id="24" name="Rectangles 24"/>
                <wp:cNvGraphicFramePr/>
                <a:graphic xmlns:a="http://schemas.openxmlformats.org/drawingml/2006/main">
                  <a:graphicData uri="http://schemas.microsoft.com/office/word/2010/wordprocessingShape">
                    <wps:wsp>
                      <wps:cNvSpPr/>
                      <wps:spPr>
                        <a:xfrm>
                          <a:off x="3937635" y="8263255"/>
                          <a:ext cx="2903220" cy="220091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A9F7009">
                            <w:pPr>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2853690" cy="1807210"/>
                                  <wp:effectExtent l="0" t="0" r="1143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5"/>
                                          <a:stretch>
                                            <a:fillRect/>
                                          </a:stretch>
                                        </pic:blipFill>
                                        <pic:spPr>
                                          <a:xfrm>
                                            <a:off x="0" y="0"/>
                                            <a:ext cx="2853690" cy="1807210"/>
                                          </a:xfrm>
                                          <a:prstGeom prst="rect">
                                            <a:avLst/>
                                          </a:prstGeom>
                                        </pic:spPr>
                                      </pic:pic>
                                    </a:graphicData>
                                  </a:graphic>
                                </wp:inline>
                              </w:drawing>
                            </w:r>
                          </w:p>
                          <w:p w14:paraId="1AD050ED">
                            <w:pPr>
                              <w:pStyle w:val="53"/>
                              <w:rPr>
                                <w:rStyle w:val="38"/>
                                <w:color w:val="000000" w:themeColor="text1"/>
                                <w:lang w:val="en-US"/>
                                <w14:textFill>
                                  <w14:solidFill>
                                    <w14:schemeClr w14:val="tx1"/>
                                  </w14:solidFill>
                                </w14:textFill>
                              </w:rPr>
                            </w:pPr>
                            <w:r>
                              <w:rPr>
                                <w:rStyle w:val="38"/>
                                <w:color w:val="000000" w:themeColor="text1"/>
                                <w:lang w:val="en-US"/>
                                <w14:textFill>
                                  <w14:solidFill>
                                    <w14:schemeClr w14:val="tx1"/>
                                  </w14:solidFill>
                                </w14:textFill>
                              </w:rPr>
                              <w:t>Figure 4</w:t>
                            </w:r>
                            <w:r>
                              <w:rPr>
                                <w:rStyle w:val="38"/>
                                <w:rFonts w:hint="default"/>
                                <w:color w:val="000000" w:themeColor="text1"/>
                                <w:lang w:val="en-US"/>
                                <w14:textFill>
                                  <w14:solidFill>
                                    <w14:schemeClr w14:val="tx1"/>
                                  </w14:solidFill>
                                </w14:textFill>
                              </w:rPr>
                              <w:t>.</w:t>
                            </w:r>
                            <w:r>
                              <w:rPr>
                                <w:rStyle w:val="38"/>
                                <w:color w:val="000000" w:themeColor="text1"/>
                                <w:lang w:val="en-US"/>
                                <w14:textFill>
                                  <w14:solidFill>
                                    <w14:schemeClr w14:val="tx1"/>
                                  </w14:solidFill>
                                </w14:textFill>
                              </w:rPr>
                              <w:t xml:space="preserve"> Comparative Analysis of Mitigation Strategies on Peak Magnetic Field Intensity.</w:t>
                            </w:r>
                          </w:p>
                          <w:p w14:paraId="69733B28">
                            <w:pPr>
                              <w:ind w:firstLine="0"/>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86.65pt;height:173.3pt;width:228.6pt;mso-wrap-distance-bottom:0pt;mso-wrap-distance-top:0pt;z-index:251668480;v-text-anchor:middle;mso-width-relative:page;mso-height-relative:page;" filled="f" stroked="f" coordsize="21600,21600" o:gfxdata="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Y+uK&#10;2gAAAAoBAAAPAAAAAAAAAAEAIAAAACIAAABkcnMvZG93bnJldi54bWxQSwECFAAUAAAACACHTuJA&#10;709F5lgCAACpBAAADgAAAAAAAAABACAAAAApAQAAZHJzL2Uyb0RvYy54bWxQSwUGAAAAAAYABgBZ&#10;AQAA8wUAAAAA&#10;">
                <v:fill on="f" focussize="0,0"/>
                <v:stroke on="f" weight="2pt"/>
                <v:imagedata o:title=""/>
                <o:lock v:ext="edit" aspectratio="f"/>
                <v:textbox>
                  <w:txbxContent>
                    <w:p w14:paraId="1A9F7009">
                      <w:pPr>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2853690" cy="1807210"/>
                            <wp:effectExtent l="0" t="0" r="1143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5"/>
                                    <a:stretch>
                                      <a:fillRect/>
                                    </a:stretch>
                                  </pic:blipFill>
                                  <pic:spPr>
                                    <a:xfrm>
                                      <a:off x="0" y="0"/>
                                      <a:ext cx="2853690" cy="1807210"/>
                                    </a:xfrm>
                                    <a:prstGeom prst="rect">
                                      <a:avLst/>
                                    </a:prstGeom>
                                  </pic:spPr>
                                </pic:pic>
                              </a:graphicData>
                            </a:graphic>
                          </wp:inline>
                        </w:drawing>
                      </w:r>
                    </w:p>
                    <w:p w14:paraId="1AD050ED">
                      <w:pPr>
                        <w:pStyle w:val="53"/>
                        <w:rPr>
                          <w:rStyle w:val="38"/>
                          <w:color w:val="000000" w:themeColor="text1"/>
                          <w:lang w:val="en-US"/>
                          <w14:textFill>
                            <w14:solidFill>
                              <w14:schemeClr w14:val="tx1"/>
                            </w14:solidFill>
                          </w14:textFill>
                        </w:rPr>
                      </w:pPr>
                      <w:r>
                        <w:rPr>
                          <w:rStyle w:val="38"/>
                          <w:color w:val="000000" w:themeColor="text1"/>
                          <w:lang w:val="en-US"/>
                          <w14:textFill>
                            <w14:solidFill>
                              <w14:schemeClr w14:val="tx1"/>
                            </w14:solidFill>
                          </w14:textFill>
                        </w:rPr>
                        <w:t>Figure 4</w:t>
                      </w:r>
                      <w:r>
                        <w:rPr>
                          <w:rStyle w:val="38"/>
                          <w:rFonts w:hint="default"/>
                          <w:color w:val="000000" w:themeColor="text1"/>
                          <w:lang w:val="en-US"/>
                          <w14:textFill>
                            <w14:solidFill>
                              <w14:schemeClr w14:val="tx1"/>
                            </w14:solidFill>
                          </w14:textFill>
                        </w:rPr>
                        <w:t>.</w:t>
                      </w:r>
                      <w:r>
                        <w:rPr>
                          <w:rStyle w:val="38"/>
                          <w:color w:val="000000" w:themeColor="text1"/>
                          <w:lang w:val="en-US"/>
                          <w14:textFill>
                            <w14:solidFill>
                              <w14:schemeClr w14:val="tx1"/>
                            </w14:solidFill>
                          </w14:textFill>
                        </w:rPr>
                        <w:t xml:space="preserve"> Comparative Analysis of Mitigation Strategies on Peak Magnetic Field Intensity.</w:t>
                      </w:r>
                    </w:p>
                    <w:p w14:paraId="69733B28">
                      <w:pPr>
                        <w:ind w:firstLine="0"/>
                        <w:jc w:val="center"/>
                        <w:rPr>
                          <w:color w:val="000000" w:themeColor="text1"/>
                          <w14:textFill>
                            <w14:solidFill>
                              <w14:schemeClr w14:val="tx1"/>
                            </w14:solidFill>
                          </w14:textFill>
                        </w:rPr>
                      </w:pPr>
                    </w:p>
                  </w:txbxContent>
                </v:textbox>
                <w10:wrap type="topAndBottom"/>
              </v:rect>
            </w:pict>
          </mc:Fallback>
        </mc:AlternateContent>
      </w:r>
      <w:r>
        <w:rPr>
          <w:color w:val="000000" w:themeColor="text1"/>
          <w:lang w:val="en-GB"/>
          <w14:textFill>
            <w14:solidFill>
              <w14:schemeClr w14:val="tx1"/>
            </w14:solidFill>
          </w14:textFill>
        </w:rPr>
        <w:t>The measurement data at varying distances enable the experimental validation that the observed emissions are near-field in nature. In the far-field region, the field amplitude decays proportionally to 1/r, where r denotes the distance. In contrast, in the near-field region, reactive field components decay much more rapidly, with terms proportional to 1/r</w:t>
      </w:r>
      <w:r>
        <w:rPr>
          <w:color w:val="000000" w:themeColor="text1"/>
          <w:vertAlign w:val="superscript"/>
          <w:lang w:val="en-GB"/>
          <w14:textFill>
            <w14:solidFill>
              <w14:schemeClr w14:val="tx1"/>
            </w14:solidFill>
          </w14:textFill>
        </w:rPr>
        <w:t>2</w:t>
      </w:r>
      <w:r>
        <w:rPr>
          <w:color w:val="000000" w:themeColor="text1"/>
          <w:lang w:val="en-GB"/>
          <w14:textFill>
            <w14:solidFill>
              <w14:schemeClr w14:val="tx1"/>
            </w14:solidFill>
          </w14:textFill>
        </w:rPr>
        <w:t xml:space="preserve"> or 1/r</w:t>
      </w:r>
      <w:r>
        <w:rPr>
          <w:color w:val="000000" w:themeColor="text1"/>
          <w:vertAlign w:val="superscript"/>
          <w:lang w:val="en-GB"/>
          <w14:textFill>
            <w14:solidFill>
              <w14:schemeClr w14:val="tx1"/>
            </w14:solidFill>
          </w14:textFill>
        </w:rPr>
        <w:t>3</w:t>
      </w:r>
      <w:r>
        <w:rPr>
          <w:color w:val="000000" w:themeColor="text1"/>
          <w:lang w:val="en-GB"/>
          <w14:textFill>
            <w14:solidFill>
              <w14:schemeClr w14:val="tx1"/>
            </w14:solidFill>
          </w14:textFill>
        </w:rPr>
        <w:t>. A quantitative analysis of the Xiaomi data reveals a measured decay factor of approximately 10.8 (from 0.799 mT to 0.074 mT over 15 cm). This decay is steeper than predicted by a far-field (1/r) model, thereby providing definitive confirmation of the near-field nature of these emissions.</w:t>
      </w:r>
    </w:p>
    <w:p w14:paraId="57F68050">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This rapid decay characteristic has important implications when contextualizing the measurement results against safety standards. As previously mentioned, the relevant standard is the ICNIRP (2010) guideline for ELF, which sets a Reference Level for the general public at 0.2 mT </w:t>
      </w:r>
      <w:r>
        <w:rPr>
          <w:color w:val="000000" w:themeColor="text1"/>
          <w:lang w:val="en-GB"/>
          <w14:textFill>
            <w14:solidFill>
              <w14:schemeClr w14:val="tx1"/>
            </w14:solidFill>
          </w14:textFill>
        </w:rPr>
        <w:fldChar w:fldCharType="begin" w:fldLock="1"/>
      </w:r>
      <w:r>
        <w:rPr>
          <w:color w:val="000000" w:themeColor="text1"/>
          <w:lang w:val="en-GB"/>
          <w14:textFill>
            <w14:solidFill>
              <w14:schemeClr w14:val="tx1"/>
            </w14:solidFill>
          </w14:textFill>
        </w:rPr>
        <w:instrText xml:space="preserve">ADDIN CSL_CITATION {"citationItems":[{"id":"ITEM-1","itemData":{"DOI":"10.1097/HP.0000000000001210","ISBN":"0000000000","ISSN":"15385159","PMID":"32167495","abstract":"Radiofrequency electromagnetic fields (EMFs) are used to enable a number of modern devices, including mobile telecommunications infrastructure and phones, Wi-Fi, and Bluetooth. As radiofrequency EMFs at sufficiently high power levels can adversely affect health, ICNIRP published Guidelines in 1998 for human exposure to time-varying EMFs up to 300 GHz, which included the radiofrequency EMF spectrum. Since that time, there has been a considerable body of science further addressing the relation between radiofrequency EMFs and adverse health outcomes, as well as significant developments in the technologies that use radiofrequency EMFs. Accordingly, ICNIRP has updated the radiofrequency EMF part of the 1998 Guidelines. This document presents these revised Guidelines, which provide protection for humans from exposure to EMFs from 100 kHz to 300 GHz.","author":[{"dropping-particle":"","family":"Ziegelberger","given":"Gunde","non-dropping-particle":"","parse-names":false,"suffix":""},{"dropping-particle":"","family":"Croft","given":"Rodney","non-dropping-particle":"","parse-names":false,"suffix":""},{"dropping-particle":"","family":"Feychting","given":"Maria","non-dropping-particle":"","parse-names":false,"suffix":""},{"dropping-particle":"","family":"Green","given":"Adèle C.","non-dropping-particle":"","parse-names":false,"suffix":""},{"dropping-particle":"","family":"Hirata","given":"Akimasa","non-dropping-particle":"","parse-names":false,"suffix":""},{"dropping-particle":"","family":"d'Inzeo","given":"Guglielmo","non-dropping-particle":"","parse-names":false,"suffix":""},{"dropping-particle":"","family":"Jokela","given":"Kari","non-dropping-particle":"","parse-names":false,"suffix":""},{"dropping-particle":"","family":"Loughran","given":"Sarah","non-dropping-particle":"","parse-names":false,"suffix":""},{"dropping-particle":"","family":"Marino","given":"Carmela","non-dropping-particle":"","parse-names":false,"suffix":""},{"dropping-particle":"","family":"Miller","given":"Sharon","non-dropping-particle":"","parse-names":false,"suffix":""},{"dropping-particle":"","family":"Oftedal","given":"Gunnhild","non-dropping-particle":"","parse-names":false,"suffix":""},{"dropping-particle":"","family":"Okuno","given":"Tsutomu","non-dropping-particle":"","parse-names":false,"suffix":""},{"dropping-particle":"","family":"Rongen","given":"Eric","non-dropping-particle":"van","parse-names":false,"suffix":""},{"dropping-particle":"","family":"Röösli","given":"Martin","non-dropping-particle":"","parse-names":false,"suffix":""},{"dropping-particle":"","family":"Sienkiewicz","given":"Zenon","non-dropping-particle":"","parse-names":false,"suffix":""},{"dropping-particle":"","family":"Tattersall","given":"John","non-dropping-particle":"","parse-names":false,"suffix":""},{"dropping-particle":"","family":"Watanabe","given":"Soichi","non-dropping-particle":"","parse-names":false,"suffix":""}],"container-title":"Health Physics","id":"ITEM-1","issue":"5","issued":{"date-parts":[["2020"]]},"number-of-pages":"483-524","title":"Guidelines for limiting exposure to electromagnetic fields (100 kHz to 300 GHz)","type":"book","volume":"118"},"uris":["http://www.mendeley.com/documents/?uuid=a25c1e8d-a68d-4d83-aac2-e987c88b8cac"]}],"mendeley":{"formattedCitation":"[5]","plainTextFormattedCitation":"[5]","previouslyFormattedCitation":"[5]"},"properties":{"noteIndex":0},"schema":"https://github.com/citation-style-language/schema/raw/master/csl-citation.json"}</w:instrText>
      </w:r>
      <w:r>
        <w:rPr>
          <w:color w:val="000000" w:themeColor="text1"/>
          <w:lang w:val="en-GB"/>
          <w14:textFill>
            <w14:solidFill>
              <w14:schemeClr w14:val="tx1"/>
            </w14:solidFill>
          </w14:textFill>
        </w:rPr>
        <w:fldChar w:fldCharType="separate"/>
      </w:r>
      <w:r>
        <w:rPr>
          <w:color w:val="000000" w:themeColor="text1"/>
          <w:lang w:val="en-GB"/>
          <w14:textFill>
            <w14:solidFill>
              <w14:schemeClr w14:val="tx1"/>
            </w14:solidFill>
          </w14:textFill>
        </w:rPr>
        <w:t>[5]</w:t>
      </w:r>
      <w:r>
        <w:rPr>
          <w:color w:val="000000" w:themeColor="text1"/>
          <w:lang w:val="en-GB"/>
          <w14:textFill>
            <w14:solidFill>
              <w14:schemeClr w14:val="tx1"/>
            </w14:solidFill>
          </w14:textFill>
        </w:rPr>
        <w:fldChar w:fldCharType="end"/>
      </w:r>
      <w:r>
        <w:rPr>
          <w:color w:val="000000" w:themeColor="text1"/>
          <w:lang w:val="en-GB"/>
          <w14:textFill>
            <w14:solidFill>
              <w14:schemeClr w14:val="tx1"/>
            </w14:solidFill>
          </w14:textFill>
        </w:rPr>
        <w:t>.</w:t>
      </w:r>
    </w:p>
    <w:p w14:paraId="26A55B19">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When compared directly, the intensities of values measured at close proximity for both devices (0.799 mT for Xiaomi and 0.269 mT for Samsung) exceed this reference level. However, a scientifically accurate interpretation must consider two crucial factors. First, the ICNIRP Reference Level is intended for scenarios involving uniform, whole-body exposure and not for highly concentrated, localized exposure from a small source like a smartphone. ICNIRP itself states that for highly localized sources, a direct comparison with the reference level may not be appropriate.</w:t>
      </w:r>
    </w:p>
    <w:p w14:paraId="1EEB0B4D">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Second, and most importantly, is the rapid decay of the near-field. As the data shows, the field intensity for both devices decrease significantly to below the 0.2 mT reference level at a distance of 15 cm. This indicates that for any practical usage scenario involving even minimal separation (e.g., a phone in a pocket, on a table, or used with a headset), the average exposure level to the body is likely well within the established safety guidelines. These findings highlight the significance of distance as a primary mitigation factor and the importance for careful analysis when applying exposure standards to complex near-field sources. </w:t>
      </w:r>
    </w:p>
    <w:p w14:paraId="0BD29C99">
      <w:pPr>
        <w:pStyle w:val="2"/>
        <w:rPr>
          <w:color w:val="000000" w:themeColor="text1"/>
          <w14:textFill>
            <w14:solidFill>
              <w14:schemeClr w14:val="tx1"/>
            </w14:solidFill>
          </w14:textFill>
        </w:rPr>
      </w:pPr>
      <w:r>
        <w:t>Conclusion</w:t>
      </w:r>
    </w:p>
    <w:p w14:paraId="29CE62CA">
      <w:pPr>
        <w:ind w:firstLine="284"/>
        <w:rPr>
          <w:color w:val="000000" w:themeColor="text1"/>
          <w14:textFill>
            <w14:solidFill>
              <w14:schemeClr w14:val="tx1"/>
            </w14:solidFill>
          </w14:textFill>
        </w:rPr>
      </w:pPr>
      <w:r>
        <w:rPr>
          <w:color w:val="000000" w:themeColor="text1"/>
          <w14:textFill>
            <w14:solidFill>
              <w14:schemeClr w14:val="tx1"/>
            </w14:solidFill>
          </w14:textFill>
        </w:rPr>
        <w:t>Based on the presented results and analysis, this research establishes that each smartphone generates a unique and quantifiable ELF magnetic field emission "fingerprint," which is directly dependent on the quality of its internal hardware design. Devices with more integrated chipsets and PMIC architectures, coupled with superior EMC principles, exhibit significantly lower emission levels, confirming that ELF exposure is a function of engineering quality rather than simply network technology generation (4G vs. 5G). Furthermore, in a quantitative comparison of mitigation strategies, spatial separation was experimentally proven to be the most dominant and effective mechanism for near-field ELF exposure, with the attenuation achieved by maintaining a minimal 15 cm distance surpassing the effectiveness of material shielding. Finally, although the magnetic field intensity at direct contact can exceed the ICNIRP Reference Level for public exposure, the rapid decay characteristic of the near-field is a crucial intrinsic safety factor. The exposure intensity drops drastically to below the reference level at minimal practical usage distances, underscoring the importance of maintaining distance as the most effective safety practice.</w:t>
      </w:r>
    </w:p>
    <w:p w14:paraId="1A740D8A">
      <w:pPr>
        <w:ind w:firstLine="284"/>
        <w:rPr>
          <w:color w:val="000000" w:themeColor="text1"/>
          <w14:textFill>
            <w14:solidFill>
              <w14:schemeClr w14:val="tx1"/>
            </w14:solidFill>
          </w14:textFill>
        </w:rPr>
      </w:pPr>
      <w:r>
        <w:rPr>
          <w:color w:val="000000" w:themeColor="text1"/>
          <w14:textFill>
            <w14:solidFill>
              <w14:schemeClr w14:val="tx1"/>
            </w14:solidFill>
          </w14:textFill>
        </w:rPr>
        <w:t>While these findings are robust, the study has certain limitations that define clear directions for future research. The use of a simplified cubic phantom and a saline TSL that only mimics conductivity suggests an opportunity for refinement. Future work should incorporate anatomically correct phantoms and TSLs that replicate both the conductivity and permittivity of brain tissue to enable a more comprehensive dosimetric analysis. Additionally, future investigations should consider more diverse and demanding operational scenarios, such as during active data transfer, gaming, or charging, which may significantly alter the emission profile. A more granular mapping of the field decay at multiple distances is further likely to allow for a more precise mathematical modeling of the near-field profile. Finally, complementing the current measurements with a spectrum analyzer would enable the identification of specific ELF emission frequencies, potentially linking them directly to the switching frequencies of components like the PMIC and providing definitive evidence of their origin.</w:t>
      </w:r>
    </w:p>
    <w:p w14:paraId="46B7FAE4">
      <w:pPr>
        <w:pStyle w:val="2"/>
        <w:numPr>
          <w:ilvl w:val="0"/>
          <w:numId w:val="0"/>
        </w:numPr>
        <w:rPr>
          <w:color w:val="FF0000"/>
          <w:lang w:val="en-US"/>
        </w:rPr>
      </w:pPr>
      <w:r>
        <w:rPr>
          <w:color w:val="000000" w:themeColor="text1"/>
          <w:lang w:val="en-US"/>
          <w14:textFill>
            <w14:solidFill>
              <w14:schemeClr w14:val="tx1"/>
            </w14:solidFill>
          </w14:textFill>
        </w:rPr>
        <w:t>Declarations</w:t>
      </w:r>
    </w:p>
    <w:p w14:paraId="57569A0D">
      <w:pPr>
        <w:pStyle w:val="2"/>
        <w:numPr>
          <w:ilvl w:val="0"/>
          <w:numId w:val="0"/>
        </w:numPr>
        <w:jc w:val="left"/>
        <w:rPr>
          <w:smallCaps w:val="0"/>
          <w:color w:val="FF0000"/>
          <w:sz w:val="18"/>
          <w:szCs w:val="18"/>
          <w:lang w:val="en-US"/>
        </w:rPr>
      </w:pPr>
      <w:bookmarkStart w:id="0" w:name="_Hlk107952738"/>
      <w:r>
        <w:rPr>
          <w:smallCaps w:val="0"/>
          <w:sz w:val="18"/>
          <w:szCs w:val="18"/>
        </w:rPr>
        <w:t>Conflict of Interest</w:t>
      </w:r>
    </w:p>
    <w:bookmarkEnd w:id="0"/>
    <w:p w14:paraId="2CB93C43">
      <w:pPr>
        <w:ind w:firstLine="284"/>
        <w:rPr>
          <w:color w:val="000000" w:themeColor="text1"/>
          <w:sz w:val="18"/>
          <w:szCs w:val="18"/>
          <w:lang w:val="en-US"/>
          <w14:textFill>
            <w14:solidFill>
              <w14:schemeClr w14:val="tx1"/>
            </w14:solidFill>
          </w14:textFill>
        </w:rPr>
      </w:pPr>
      <w:r>
        <w:rPr>
          <w:sz w:val="18"/>
          <w:szCs w:val="18"/>
        </w:rPr>
        <w:t>The authors have declared that no competing interests exist</w:t>
      </w:r>
      <w:r>
        <w:rPr>
          <w:sz w:val="18"/>
          <w:szCs w:val="18"/>
          <w:lang w:val="en-US"/>
        </w:rPr>
        <w:t>.</w:t>
      </w:r>
    </w:p>
    <w:p w14:paraId="21B5093D">
      <w:pPr>
        <w:pStyle w:val="2"/>
        <w:numPr>
          <w:ilvl w:val="0"/>
          <w:numId w:val="0"/>
        </w:numPr>
        <w:jc w:val="left"/>
        <w:rPr>
          <w:smallCaps w:val="0"/>
          <w:color w:val="FF0000"/>
          <w:sz w:val="18"/>
          <w:szCs w:val="18"/>
          <w:lang w:val="en-US"/>
        </w:rPr>
      </w:pPr>
      <w:r>
        <w:rPr>
          <w:smallCaps w:val="0"/>
          <w:sz w:val="18"/>
          <w:szCs w:val="18"/>
        </w:rPr>
        <w:t xml:space="preserve">Credit </w:t>
      </w:r>
      <w:r>
        <w:rPr>
          <w:smallCaps w:val="0"/>
          <w:sz w:val="18"/>
          <w:szCs w:val="18"/>
          <w:lang w:val="en-US"/>
        </w:rPr>
        <w:t>A</w:t>
      </w:r>
      <w:r>
        <w:rPr>
          <w:smallCaps w:val="0"/>
          <w:sz w:val="18"/>
          <w:szCs w:val="18"/>
        </w:rPr>
        <w:t xml:space="preserve">uthorship </w:t>
      </w:r>
      <w:r>
        <w:rPr>
          <w:smallCaps w:val="0"/>
          <w:sz w:val="18"/>
          <w:szCs w:val="18"/>
          <w:lang w:val="en-US"/>
        </w:rPr>
        <w:t>C</w:t>
      </w:r>
      <w:r>
        <w:rPr>
          <w:smallCaps w:val="0"/>
          <w:sz w:val="18"/>
          <w:szCs w:val="18"/>
        </w:rPr>
        <w:t>ontribution</w:t>
      </w:r>
    </w:p>
    <w:p w14:paraId="512E3E03">
      <w:pPr>
        <w:ind w:firstLine="283"/>
        <w:rPr>
          <w:color w:val="000000" w:themeColor="text1"/>
          <w:sz w:val="18"/>
          <w:szCs w:val="18"/>
          <w:lang w:val="en-US"/>
          <w14:textFill>
            <w14:solidFill>
              <w14:schemeClr w14:val="tx1"/>
            </w14:solidFill>
          </w14:textFill>
        </w:rPr>
      </w:pPr>
      <w:r>
        <w:rPr>
          <w:color w:val="000000" w:themeColor="text1"/>
          <w:sz w:val="18"/>
          <w:szCs w:val="18"/>
          <w:lang w:val="en-US"/>
          <w14:textFill>
            <w14:solidFill>
              <w14:schemeClr w14:val="tx1"/>
            </w14:solidFill>
          </w14:textFill>
        </w:rPr>
        <w:t>Bayu Wira Yudha: Conceptualization, Methodology, Software, Validation, Investigation, Data Curation, Writing Original Draft, Visualization</w:t>
      </w:r>
      <w:r>
        <w:rPr>
          <w:rFonts w:hint="default"/>
          <w:color w:val="000000" w:themeColor="text1"/>
          <w:sz w:val="18"/>
          <w:szCs w:val="18"/>
          <w:lang w:val="en-US"/>
          <w14:textFill>
            <w14:solidFill>
              <w14:schemeClr w14:val="tx1"/>
            </w14:solidFill>
          </w14:textFill>
        </w:rPr>
        <w:t xml:space="preserve">; </w:t>
      </w:r>
      <w:r>
        <w:rPr>
          <w:color w:val="000000" w:themeColor="text1"/>
          <w:sz w:val="18"/>
          <w:szCs w:val="18"/>
          <w:lang w:val="en-US"/>
          <w14:textFill>
            <w14:solidFill>
              <w14:schemeClr w14:val="tx1"/>
            </w14:solidFill>
          </w14:textFill>
        </w:rPr>
        <w:t>Hasballah Zakaria: Supervision, Writing</w:t>
      </w:r>
      <w:r>
        <w:rPr>
          <w:rFonts w:hint="default"/>
          <w:color w:val="000000" w:themeColor="text1"/>
          <w:sz w:val="18"/>
          <w:szCs w:val="18"/>
          <w:lang w:val="en-US"/>
          <w14:textFill>
            <w14:solidFill>
              <w14:schemeClr w14:val="tx1"/>
            </w14:solidFill>
          </w14:textFill>
        </w:rPr>
        <w:t xml:space="preserve">, </w:t>
      </w:r>
      <w:r>
        <w:rPr>
          <w:color w:val="000000" w:themeColor="text1"/>
          <w:sz w:val="18"/>
          <w:szCs w:val="18"/>
          <w:lang w:val="en-US"/>
          <w14:textFill>
            <w14:solidFill>
              <w14:schemeClr w14:val="tx1"/>
            </w14:solidFill>
          </w14:textFill>
        </w:rPr>
        <w:t>Review &amp; Editing, Project Administration.</w:t>
      </w:r>
    </w:p>
    <w:p w14:paraId="43BFABD6">
      <w:pPr>
        <w:keepNext/>
        <w:spacing w:before="180" w:after="60"/>
        <w:ind w:firstLine="0"/>
        <w:jc w:val="left"/>
        <w:outlineLvl w:val="0"/>
        <w:rPr>
          <w:b/>
          <w:bCs/>
          <w:kern w:val="32"/>
          <w:sz w:val="18"/>
          <w:szCs w:val="18"/>
          <w:lang w:val="en-US" w:eastAsia="zh-CN"/>
        </w:rPr>
      </w:pPr>
      <w:r>
        <w:rPr>
          <w:b/>
          <w:bCs/>
          <w:kern w:val="32"/>
          <w:sz w:val="18"/>
          <w:szCs w:val="18"/>
          <w:lang w:val="en-US" w:eastAsia="zh-CN"/>
        </w:rPr>
        <w:t>Funding</w:t>
      </w:r>
    </w:p>
    <w:p w14:paraId="3909B05D">
      <w:pPr>
        <w:ind w:firstLine="283"/>
        <w:rPr>
          <w:color w:val="000000" w:themeColor="text1"/>
          <w:sz w:val="18"/>
          <w:szCs w:val="18"/>
          <w:lang w:val="en-US"/>
          <w14:textFill>
            <w14:solidFill>
              <w14:schemeClr w14:val="tx1"/>
            </w14:solidFill>
          </w14:textFill>
        </w:rPr>
      </w:pPr>
      <w:r>
        <w:rPr>
          <w:sz w:val="18"/>
          <w:szCs w:val="18"/>
        </w:rPr>
        <w:t>The author(s) received no financial support for the research, authorship, and/or publication of this article.</w:t>
      </w:r>
    </w:p>
    <w:p w14:paraId="6DB0A49D">
      <w:pPr>
        <w:pStyle w:val="2"/>
        <w:numPr>
          <w:ilvl w:val="0"/>
          <w:numId w:val="0"/>
        </w:numPr>
        <w:jc w:val="left"/>
        <w:rPr>
          <w:smallCaps w:val="0"/>
          <w:color w:val="FF0000"/>
          <w:sz w:val="18"/>
          <w:szCs w:val="18"/>
        </w:rPr>
      </w:pPr>
      <w:r>
        <w:rPr>
          <w:smallCaps w:val="0"/>
          <w:color w:val="000000" w:themeColor="text1"/>
          <w:sz w:val="18"/>
          <w:szCs w:val="18"/>
          <w14:textFill>
            <w14:solidFill>
              <w14:schemeClr w14:val="tx1"/>
            </w14:solidFill>
          </w14:textFill>
        </w:rPr>
        <w:t>Acknowledgment</w:t>
      </w:r>
    </w:p>
    <w:p w14:paraId="2CA814F2">
      <w:pPr>
        <w:ind w:firstLine="283"/>
        <w:rPr>
          <w:color w:val="FF0000"/>
          <w:sz w:val="18"/>
          <w:szCs w:val="18"/>
        </w:rPr>
      </w:pPr>
      <w:r>
        <w:rPr>
          <w:color w:val="000000" w:themeColor="text1"/>
          <w:sz w:val="18"/>
          <w:szCs w:val="18"/>
          <w14:textFill>
            <w14:solidFill>
              <w14:schemeClr w14:val="tx1"/>
            </w14:solidFill>
          </w14:textFill>
        </w:rPr>
        <w:t>The authors would like to express their gratitude for the assistance provided in preparing the measurement instruments and to colleagues for their constructive discussions and feedback throughout this research</w:t>
      </w:r>
      <w:r>
        <w:rPr>
          <w:color w:val="000000" w:themeColor="text1"/>
          <w:sz w:val="18"/>
          <w:szCs w:val="18"/>
          <w:lang w:val="en-US"/>
          <w14:textFill>
            <w14:solidFill>
              <w14:schemeClr w14:val="tx1"/>
            </w14:solidFill>
          </w14:textFill>
        </w:rPr>
        <w:t xml:space="preserve">. </w:t>
      </w:r>
    </w:p>
    <w:p w14:paraId="4F2D4DBC">
      <w:pPr>
        <w:pStyle w:val="2"/>
        <w:numPr>
          <w:ilvl w:val="0"/>
          <w:numId w:val="0"/>
        </w:numPr>
        <w:rPr>
          <w:color w:val="FF0000"/>
        </w:rPr>
      </w:pPr>
      <w:r>
        <w:rPr>
          <w:color w:val="000000" w:themeColor="text1"/>
          <w14:textFill>
            <w14:solidFill>
              <w14:schemeClr w14:val="tx1"/>
            </w14:solidFill>
          </w14:textFill>
        </w:rPr>
        <w:t>References</w:t>
      </w:r>
    </w:p>
    <w:p w14:paraId="20CEAB2F">
      <w:pPr>
        <w:widowControl w:val="0"/>
        <w:autoSpaceDE w:val="0"/>
        <w:autoSpaceDN w:val="0"/>
        <w:adjustRightInd w:val="0"/>
        <w:ind w:left="363" w:hanging="363"/>
        <w:rPr>
          <w:sz w:val="16"/>
          <w:szCs w:val="16"/>
        </w:rPr>
      </w:pPr>
      <w:r>
        <w:rPr>
          <w:color w:val="FF0000"/>
          <w:sz w:val="16"/>
          <w:szCs w:val="16"/>
        </w:rPr>
        <w:fldChar w:fldCharType="begin" w:fldLock="1"/>
      </w:r>
      <w:r>
        <w:rPr>
          <w:color w:val="FF0000"/>
          <w:sz w:val="16"/>
          <w:szCs w:val="16"/>
        </w:rPr>
        <w:instrText xml:space="preserve">ADDIN Mendeley Bibliography CSL_BIBLIOGRAPHY </w:instrText>
      </w:r>
      <w:r>
        <w:rPr>
          <w:color w:val="FF0000"/>
          <w:sz w:val="16"/>
          <w:szCs w:val="16"/>
        </w:rPr>
        <w:fldChar w:fldCharType="separate"/>
      </w:r>
      <w:r>
        <w:rPr>
          <w:sz w:val="16"/>
          <w:szCs w:val="16"/>
        </w:rPr>
        <w:t>[1]</w:t>
      </w:r>
      <w:r>
        <w:rPr>
          <w:sz w:val="16"/>
          <w:szCs w:val="16"/>
        </w:rPr>
        <w:tab/>
      </w:r>
      <w:r>
        <w:rPr>
          <w:sz w:val="16"/>
          <w:szCs w:val="16"/>
        </w:rPr>
        <w:t xml:space="preserve">L. Falcioni </w:t>
      </w:r>
      <w:r>
        <w:rPr>
          <w:i/>
          <w:iCs/>
          <w:sz w:val="16"/>
          <w:szCs w:val="16"/>
        </w:rPr>
        <w:t>et al.</w:t>
      </w:r>
      <w:r>
        <w:rPr>
          <w:sz w:val="16"/>
          <w:szCs w:val="16"/>
        </w:rPr>
        <w:t xml:space="preserve">, “Report of final results regarding brain and heart tumors in sprague-dawley rats exposed from prenatal life until natural death to mobile phone radiofrequency field representative of a 1.8 ghz gsm base station environmental emission,” </w:t>
      </w:r>
      <w:r>
        <w:rPr>
          <w:i/>
          <w:iCs/>
          <w:sz w:val="16"/>
          <w:szCs w:val="16"/>
        </w:rPr>
        <w:t>Environ. Res.</w:t>
      </w:r>
      <w:r>
        <w:rPr>
          <w:sz w:val="16"/>
          <w:szCs w:val="16"/>
        </w:rPr>
        <w:t>, vol. 165, no. October 2017, pp. 496–503, 2018, doi: 10.1016/j.envres.2018.01.037.</w:t>
      </w:r>
    </w:p>
    <w:p w14:paraId="3389FB86">
      <w:pPr>
        <w:widowControl w:val="0"/>
        <w:autoSpaceDE w:val="0"/>
        <w:autoSpaceDN w:val="0"/>
        <w:adjustRightInd w:val="0"/>
        <w:ind w:left="363" w:hanging="363"/>
        <w:rPr>
          <w:sz w:val="16"/>
          <w:szCs w:val="16"/>
        </w:rPr>
      </w:pPr>
      <w:r>
        <w:rPr>
          <w:sz w:val="16"/>
          <w:szCs w:val="16"/>
        </w:rPr>
        <w:t>[2]</w:t>
      </w:r>
      <w:r>
        <w:rPr>
          <w:sz w:val="16"/>
          <w:szCs w:val="16"/>
        </w:rPr>
        <w:tab/>
      </w:r>
      <w:r>
        <w:rPr>
          <w:sz w:val="16"/>
          <w:szCs w:val="16"/>
        </w:rPr>
        <w:t xml:space="preserve">M. Feychting </w:t>
      </w:r>
      <w:r>
        <w:rPr>
          <w:i/>
          <w:iCs/>
          <w:sz w:val="16"/>
          <w:szCs w:val="16"/>
        </w:rPr>
        <w:t>et al.</w:t>
      </w:r>
      <w:r>
        <w:rPr>
          <w:sz w:val="16"/>
          <w:szCs w:val="16"/>
        </w:rPr>
        <w:t xml:space="preserve">, “Mobile phone use and brain tumour risk – cosmos, a prospective cohort study,” </w:t>
      </w:r>
      <w:r>
        <w:rPr>
          <w:i/>
          <w:iCs/>
          <w:sz w:val="16"/>
          <w:szCs w:val="16"/>
        </w:rPr>
        <w:t>Environ. Int.</w:t>
      </w:r>
      <w:r>
        <w:rPr>
          <w:sz w:val="16"/>
          <w:szCs w:val="16"/>
        </w:rPr>
        <w:t>, vol. 185, no. January, p. 108552, 2024, doi: 10.1016/j.envint.2024.108552.</w:t>
      </w:r>
    </w:p>
    <w:p w14:paraId="4F83082A">
      <w:pPr>
        <w:widowControl w:val="0"/>
        <w:autoSpaceDE w:val="0"/>
        <w:autoSpaceDN w:val="0"/>
        <w:adjustRightInd w:val="0"/>
        <w:ind w:left="363" w:hanging="363"/>
        <w:rPr>
          <w:sz w:val="16"/>
          <w:szCs w:val="16"/>
        </w:rPr>
      </w:pPr>
      <w:r>
        <w:rPr>
          <w:sz w:val="16"/>
          <w:szCs w:val="16"/>
        </w:rPr>
        <w:t>[3]</w:t>
      </w:r>
      <w:r>
        <w:rPr>
          <w:sz w:val="16"/>
          <w:szCs w:val="16"/>
        </w:rPr>
        <w:tab/>
      </w:r>
      <w:r>
        <w:rPr>
          <w:sz w:val="16"/>
          <w:szCs w:val="16"/>
        </w:rPr>
        <w:t xml:space="preserve">J. Misek </w:t>
      </w:r>
      <w:r>
        <w:rPr>
          <w:i/>
          <w:iCs/>
          <w:sz w:val="16"/>
          <w:szCs w:val="16"/>
        </w:rPr>
        <w:t>et al.</w:t>
      </w:r>
      <w:r>
        <w:rPr>
          <w:sz w:val="16"/>
          <w:szCs w:val="16"/>
        </w:rPr>
        <w:t xml:space="preserve">, “Extremely low frequency magnetic fields emitted by cell phones,” </w:t>
      </w:r>
      <w:r>
        <w:rPr>
          <w:i/>
          <w:iCs/>
          <w:sz w:val="16"/>
          <w:szCs w:val="16"/>
        </w:rPr>
        <w:t>Front. Phys.</w:t>
      </w:r>
      <w:r>
        <w:rPr>
          <w:sz w:val="16"/>
          <w:szCs w:val="16"/>
        </w:rPr>
        <w:t>, vol. 11, no. January, 2023, doi: 10.3389/fphy.2023.1094921.</w:t>
      </w:r>
    </w:p>
    <w:p w14:paraId="70DD0DD8">
      <w:pPr>
        <w:widowControl w:val="0"/>
        <w:autoSpaceDE w:val="0"/>
        <w:autoSpaceDN w:val="0"/>
        <w:adjustRightInd w:val="0"/>
        <w:ind w:left="363" w:hanging="363"/>
        <w:rPr>
          <w:sz w:val="16"/>
          <w:szCs w:val="16"/>
        </w:rPr>
      </w:pPr>
      <w:r>
        <w:rPr>
          <w:sz w:val="16"/>
          <w:szCs w:val="16"/>
        </w:rPr>
        <w:t>[4]</w:t>
      </w:r>
      <w:r>
        <w:rPr>
          <w:sz w:val="16"/>
          <w:szCs w:val="16"/>
        </w:rPr>
        <w:tab/>
      </w:r>
      <w:r>
        <w:rPr>
          <w:sz w:val="16"/>
          <w:szCs w:val="16"/>
        </w:rPr>
        <w:t xml:space="preserve">S. Miclaus, D. B. Deaconescu, D. Vatamanu, and A. M. Buda, “An exposimetric electromagnetic comparison of mobile phone emissions: 5g versus 4g signals analyses by means of statistics and convolutional neural networks classification,” </w:t>
      </w:r>
      <w:r>
        <w:rPr>
          <w:i/>
          <w:iCs/>
          <w:sz w:val="16"/>
          <w:szCs w:val="16"/>
        </w:rPr>
        <w:t>Technologies</w:t>
      </w:r>
      <w:r>
        <w:rPr>
          <w:sz w:val="16"/>
          <w:szCs w:val="16"/>
        </w:rPr>
        <w:t>, vol. 11, no. 5, 2023, doi: 10.3390/technologies11050113.</w:t>
      </w:r>
    </w:p>
    <w:p w14:paraId="6B690875">
      <w:pPr>
        <w:widowControl w:val="0"/>
        <w:autoSpaceDE w:val="0"/>
        <w:autoSpaceDN w:val="0"/>
        <w:adjustRightInd w:val="0"/>
        <w:ind w:left="363" w:hanging="363"/>
        <w:rPr>
          <w:sz w:val="16"/>
          <w:szCs w:val="16"/>
        </w:rPr>
      </w:pPr>
      <w:r>
        <w:rPr>
          <w:sz w:val="16"/>
          <w:szCs w:val="16"/>
        </w:rPr>
        <w:t>[5]</w:t>
      </w:r>
      <w:r>
        <w:rPr>
          <w:sz w:val="16"/>
          <w:szCs w:val="16"/>
        </w:rPr>
        <w:tab/>
      </w:r>
      <w:r>
        <w:rPr>
          <w:rFonts w:hint="default"/>
          <w:sz w:val="16"/>
          <w:szCs w:val="16"/>
        </w:rPr>
        <w:t xml:space="preserve">International Commission on Non-Ionizing Radiation Protection (ICNIRP), “Guidelines for limiting exposure to electromagnetic fields (100 kHz to 300 GHz),” </w:t>
      </w:r>
      <w:r>
        <w:rPr>
          <w:rFonts w:hint="default"/>
          <w:i/>
          <w:iCs/>
          <w:sz w:val="16"/>
          <w:szCs w:val="16"/>
        </w:rPr>
        <w:t>Health</w:t>
      </w:r>
      <w:r>
        <w:rPr>
          <w:rFonts w:hint="default"/>
          <w:i/>
          <w:iCs/>
          <w:sz w:val="16"/>
          <w:szCs w:val="16"/>
          <w:lang w:val="en-US"/>
        </w:rPr>
        <w:t>.</w:t>
      </w:r>
      <w:r>
        <w:rPr>
          <w:rFonts w:hint="default"/>
          <w:i/>
          <w:iCs/>
          <w:sz w:val="16"/>
          <w:szCs w:val="16"/>
        </w:rPr>
        <w:t xml:space="preserve"> Phys</w:t>
      </w:r>
      <w:r>
        <w:rPr>
          <w:rFonts w:hint="default"/>
          <w:sz w:val="16"/>
          <w:szCs w:val="16"/>
        </w:rPr>
        <w:t>., vol. 118, no. 5, pp. 483–524, May 2020, doi: 10.1097/HP.0000000000001210</w:t>
      </w:r>
      <w:r>
        <w:rPr>
          <w:sz w:val="16"/>
          <w:szCs w:val="16"/>
        </w:rPr>
        <w:t>.</w:t>
      </w:r>
    </w:p>
    <w:p w14:paraId="37766D69">
      <w:pPr>
        <w:widowControl w:val="0"/>
        <w:autoSpaceDE w:val="0"/>
        <w:autoSpaceDN w:val="0"/>
        <w:adjustRightInd w:val="0"/>
        <w:ind w:left="363" w:hanging="363"/>
        <w:rPr>
          <w:sz w:val="16"/>
          <w:szCs w:val="16"/>
        </w:rPr>
      </w:pPr>
      <w:r>
        <w:rPr>
          <w:sz w:val="16"/>
          <w:szCs w:val="16"/>
        </w:rPr>
        <w:t>[6]</w:t>
      </w:r>
      <w:r>
        <w:rPr>
          <w:sz w:val="16"/>
          <w:szCs w:val="16"/>
        </w:rPr>
        <w:tab/>
      </w:r>
      <w:r>
        <w:rPr>
          <w:sz w:val="16"/>
          <w:szCs w:val="16"/>
        </w:rPr>
        <w:t xml:space="preserve">Y. Akinay, U. Gunes, B. Çolak, and T. Cetin, “Recent progress of electromagnetic wave absorbers: a systematic review and bibliometric approach,” </w:t>
      </w:r>
      <w:r>
        <w:rPr>
          <w:i/>
          <w:iCs/>
          <w:sz w:val="16"/>
          <w:szCs w:val="16"/>
        </w:rPr>
        <w:t>ChemPhysMater</w:t>
      </w:r>
      <w:r>
        <w:rPr>
          <w:sz w:val="16"/>
          <w:szCs w:val="16"/>
        </w:rPr>
        <w:t>, vol. 2, no. 3, pp. 197–206, 2023, doi: 10.1016/j.chphma.2022.10.002.</w:t>
      </w:r>
    </w:p>
    <w:p w14:paraId="55502731">
      <w:pPr>
        <w:widowControl w:val="0"/>
        <w:autoSpaceDE w:val="0"/>
        <w:autoSpaceDN w:val="0"/>
        <w:adjustRightInd w:val="0"/>
        <w:ind w:left="363" w:hanging="363"/>
        <w:rPr>
          <w:sz w:val="16"/>
          <w:szCs w:val="16"/>
        </w:rPr>
      </w:pPr>
      <w:r>
        <w:rPr>
          <w:sz w:val="16"/>
          <w:szCs w:val="16"/>
        </w:rPr>
        <w:t>[7]</w:t>
      </w:r>
      <w:r>
        <w:rPr>
          <w:sz w:val="16"/>
          <w:szCs w:val="16"/>
        </w:rPr>
        <w:tab/>
      </w:r>
      <w:r>
        <w:rPr>
          <w:sz w:val="16"/>
          <w:szCs w:val="16"/>
        </w:rPr>
        <w:t xml:space="preserve">C. Ianniello </w:t>
      </w:r>
      <w:r>
        <w:rPr>
          <w:i/>
          <w:iCs/>
          <w:sz w:val="16"/>
          <w:szCs w:val="16"/>
        </w:rPr>
        <w:t>et al.</w:t>
      </w:r>
      <w:r>
        <w:rPr>
          <w:sz w:val="16"/>
          <w:szCs w:val="16"/>
        </w:rPr>
        <w:t xml:space="preserve">, “Synthesized tissue-equivalent dielectric phantoms using salt and polyvinylpyrrolidone solutions,” </w:t>
      </w:r>
      <w:r>
        <w:rPr>
          <w:i/>
          <w:iCs/>
          <w:sz w:val="16"/>
          <w:szCs w:val="16"/>
        </w:rPr>
        <w:t>Magn. Reson. Med.</w:t>
      </w:r>
      <w:r>
        <w:rPr>
          <w:sz w:val="16"/>
          <w:szCs w:val="16"/>
        </w:rPr>
        <w:t>, vol. 80, no. 1, pp. 413–419, 2018, doi: 10.1002/mrm.27005.</w:t>
      </w:r>
    </w:p>
    <w:p w14:paraId="7EFC58AA">
      <w:pPr>
        <w:widowControl w:val="0"/>
        <w:autoSpaceDE w:val="0"/>
        <w:autoSpaceDN w:val="0"/>
        <w:adjustRightInd w:val="0"/>
        <w:ind w:left="363" w:hanging="363"/>
        <w:rPr>
          <w:sz w:val="16"/>
          <w:szCs w:val="16"/>
        </w:rPr>
      </w:pPr>
      <w:r>
        <w:rPr>
          <w:sz w:val="16"/>
          <w:szCs w:val="16"/>
        </w:rPr>
        <w:t>[8]</w:t>
      </w:r>
      <w:r>
        <w:rPr>
          <w:sz w:val="16"/>
          <w:szCs w:val="16"/>
        </w:rPr>
        <w:tab/>
      </w:r>
      <w:r>
        <w:rPr>
          <w:rFonts w:hint="default"/>
          <w:sz w:val="16"/>
          <w:szCs w:val="16"/>
        </w:rPr>
        <w:t xml:space="preserve">L. Yuan, J. Zhang, Z. Liang, M. Hu, G. Chen, and W. Lu, “EMI challenges in modern power electronic-based converters: Recent advances and mitigation techniques,” </w:t>
      </w:r>
      <w:r>
        <w:rPr>
          <w:rFonts w:hint="default"/>
          <w:i/>
          <w:iCs/>
          <w:sz w:val="16"/>
          <w:szCs w:val="16"/>
        </w:rPr>
        <w:t>Front. Electron</w:t>
      </w:r>
      <w:r>
        <w:rPr>
          <w:rFonts w:hint="default"/>
          <w:sz w:val="16"/>
          <w:szCs w:val="16"/>
        </w:rPr>
        <w:t>., vol. 4, Nov. 2023, Art. no. 1274258, doi: 10.3389/felec.2023.1274258.</w:t>
      </w:r>
    </w:p>
    <w:p w14:paraId="31E2781B">
      <w:pPr>
        <w:widowControl w:val="0"/>
        <w:autoSpaceDE w:val="0"/>
        <w:autoSpaceDN w:val="0"/>
        <w:adjustRightInd w:val="0"/>
        <w:ind w:left="363" w:hanging="363"/>
        <w:rPr>
          <w:sz w:val="16"/>
          <w:szCs w:val="16"/>
        </w:rPr>
      </w:pPr>
      <w:r>
        <w:rPr>
          <w:sz w:val="16"/>
          <w:szCs w:val="16"/>
        </w:rPr>
        <w:t>[9]</w:t>
      </w:r>
      <w:r>
        <w:rPr>
          <w:sz w:val="16"/>
          <w:szCs w:val="16"/>
        </w:rPr>
        <w:tab/>
      </w:r>
      <w:r>
        <w:rPr>
          <w:rFonts w:hint="default"/>
          <w:sz w:val="16"/>
          <w:szCs w:val="16"/>
        </w:rPr>
        <w:t xml:space="preserve">Y. Shi, X. Bai, J. Yang, X. Wu, and L. Wang, “Optimized measurement methods and systems for the dielectric properties of active biological tissues in the 10 Hz–100 MHz frequency range,” </w:t>
      </w:r>
      <w:r>
        <w:rPr>
          <w:rFonts w:hint="default"/>
          <w:i/>
          <w:iCs/>
          <w:sz w:val="16"/>
          <w:szCs w:val="16"/>
        </w:rPr>
        <w:t>Front. Physiol</w:t>
      </w:r>
      <w:r>
        <w:rPr>
          <w:rFonts w:hint="default"/>
          <w:sz w:val="16"/>
          <w:szCs w:val="16"/>
        </w:rPr>
        <w:t>., vol. 16, Jan. 2025, Art. no. 1537537, doi: 10.3389/fphys.2025.1537537</w:t>
      </w:r>
      <w:r>
        <w:rPr>
          <w:sz w:val="16"/>
          <w:szCs w:val="16"/>
        </w:rPr>
        <w:t>.</w:t>
      </w:r>
    </w:p>
    <w:p w14:paraId="58267182">
      <w:pPr>
        <w:widowControl w:val="0"/>
        <w:autoSpaceDE w:val="0"/>
        <w:autoSpaceDN w:val="0"/>
        <w:adjustRightInd w:val="0"/>
        <w:ind w:left="363" w:hanging="363"/>
        <w:rPr>
          <w:sz w:val="16"/>
          <w:szCs w:val="16"/>
        </w:rPr>
      </w:pPr>
      <w:bookmarkStart w:id="2" w:name="_GoBack"/>
      <w:r>
        <w:rPr>
          <w:sz w:val="16"/>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477520</wp:posOffset>
                </wp:positionV>
                <wp:extent cx="5965825" cy="7435850"/>
                <wp:effectExtent l="0" t="0" r="0" b="0"/>
                <wp:wrapTopAndBottom/>
                <wp:docPr id="23" name="Rectangles 23"/>
                <wp:cNvGraphicFramePr/>
                <a:graphic xmlns:a="http://schemas.openxmlformats.org/drawingml/2006/main">
                  <a:graphicData uri="http://schemas.microsoft.com/office/word/2010/wordprocessingShape">
                    <wps:wsp>
                      <wps:cNvSpPr/>
                      <wps:spPr>
                        <a:xfrm>
                          <a:off x="857885" y="1967230"/>
                          <a:ext cx="5965825" cy="74358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5pt;margin-top:37.6pt;height:585.5pt;width:469.75pt;mso-wrap-distance-bottom:0pt;mso-wrap-distance-top:0pt;z-index:251667456;v-text-anchor:middle;mso-width-relative:page;mso-height-relative:page;" filled="f" stroked="f" coordsize="21600,21600" o:gfxdata="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nSJaC2AAAAAkBAAAP&#10;AAAAAAAAAAEAIAAAACIAAABkcnMvZG93bnJldi54bWxQSwECFAAUAAAACACHTuJAChqAtlECAACd&#10;BAAADgAAAAAAAAABACAAAAAnAQAAZHJzL2Uyb0RvYy54bWxQSwUGAAAAAAYABgBZAQAA6gUAAAAA&#10;">
                <v:fill on="f" focussize="0,0"/>
                <v:stroke on="f" weight="2pt"/>
                <v:imagedata o:title=""/>
                <o:lock v:ext="edit" aspectratio="f"/>
                <w10:wrap type="topAndBottom"/>
              </v:rect>
            </w:pict>
          </mc:Fallback>
        </mc:AlternateContent>
      </w:r>
      <w:bookmarkEnd w:id="2"/>
      <w:r>
        <w:rPr>
          <w:sz w:val="16"/>
          <w:szCs w:val="16"/>
        </w:rPr>
        <w:t>[10]</w:t>
      </w:r>
      <w:r>
        <w:rPr>
          <w:sz w:val="16"/>
          <w:szCs w:val="16"/>
        </w:rPr>
        <w:tab/>
      </w:r>
      <w:r>
        <w:rPr>
          <w:sz w:val="16"/>
          <w:szCs w:val="16"/>
        </w:rPr>
        <w:t xml:space="preserve">A. Peyman, C. Gabriel, and E. H. Grant, “Complex permittivity of sodium chloride solutions at microwave frequencies,” </w:t>
      </w:r>
      <w:r>
        <w:rPr>
          <w:i/>
          <w:iCs/>
          <w:sz w:val="16"/>
          <w:szCs w:val="16"/>
        </w:rPr>
        <w:t>Bioelectromagnetics</w:t>
      </w:r>
      <w:r>
        <w:rPr>
          <w:sz w:val="16"/>
          <w:szCs w:val="16"/>
        </w:rPr>
        <w:t>, vol. 28, no. 4, pp. 264–274, 2007, doi: 10.1002/bem.20271.</w:t>
      </w:r>
    </w:p>
    <w:p w14:paraId="55DD6FED">
      <w:pPr>
        <w:widowControl w:val="0"/>
        <w:autoSpaceDE w:val="0"/>
        <w:autoSpaceDN w:val="0"/>
        <w:adjustRightInd w:val="0"/>
        <w:ind w:left="363" w:hanging="363"/>
        <w:rPr>
          <w:sz w:val="16"/>
          <w:szCs w:val="16"/>
        </w:rPr>
      </w:pPr>
      <w:r>
        <w:rPr>
          <w:sz w:val="16"/>
          <w:szCs w:val="16"/>
        </w:rPr>
        <w:t>[11]</w:t>
      </w:r>
      <w:r>
        <w:rPr>
          <w:sz w:val="16"/>
          <w:szCs w:val="16"/>
        </w:rPr>
        <w:tab/>
      </w:r>
      <w:r>
        <w:rPr>
          <w:sz w:val="16"/>
          <w:szCs w:val="16"/>
        </w:rPr>
        <w:t xml:space="preserve">G. Schmid, G. Neubauer, and P. R. Mazal, “Dielectric properties of human brain tissue measured less than 10 h postmortem at frequencies from 800 to 2450 mhz,” </w:t>
      </w:r>
      <w:r>
        <w:rPr>
          <w:i/>
          <w:iCs/>
          <w:sz w:val="16"/>
          <w:szCs w:val="16"/>
        </w:rPr>
        <w:t>Bioelectromagnetics</w:t>
      </w:r>
      <w:r>
        <w:rPr>
          <w:sz w:val="16"/>
          <w:szCs w:val="16"/>
        </w:rPr>
        <w:t>, vol. 24, no. 6, pp. 423–430, 2003, doi: 10.1002/bem.10123.</w:t>
      </w:r>
    </w:p>
    <w:p w14:paraId="2B1BBFED">
      <w:pPr>
        <w:widowControl w:val="0"/>
        <w:autoSpaceDE w:val="0"/>
        <w:autoSpaceDN w:val="0"/>
        <w:adjustRightInd w:val="0"/>
        <w:ind w:left="363" w:hanging="363"/>
        <w:rPr>
          <w:sz w:val="16"/>
          <w:szCs w:val="16"/>
        </w:rPr>
      </w:pPr>
      <w:r>
        <w:rPr>
          <w:sz w:val="16"/>
          <w:szCs w:val="16"/>
        </w:rPr>
        <w:t>[12]</w:t>
      </w:r>
      <w:r>
        <w:rPr>
          <w:sz w:val="16"/>
          <w:szCs w:val="16"/>
        </w:rPr>
        <w:tab/>
      </w:r>
      <w:r>
        <w:rPr>
          <w:sz w:val="16"/>
          <w:szCs w:val="16"/>
        </w:rPr>
        <w:t xml:space="preserve">S. Marmin </w:t>
      </w:r>
      <w:r>
        <w:rPr>
          <w:i/>
          <w:iCs/>
          <w:sz w:val="16"/>
          <w:szCs w:val="16"/>
        </w:rPr>
        <w:t>et al.</w:t>
      </w:r>
      <w:r>
        <w:rPr>
          <w:sz w:val="16"/>
          <w:szCs w:val="16"/>
        </w:rPr>
        <w:t xml:space="preserve">, “NeuroImage linking dielectric dispersion and age in brain tissues via water content-based electric properties tomography,” </w:t>
      </w:r>
      <w:r>
        <w:rPr>
          <w:i/>
          <w:iCs/>
          <w:sz w:val="16"/>
          <w:szCs w:val="16"/>
        </w:rPr>
        <w:t>Neuroimage</w:t>
      </w:r>
      <w:r>
        <w:rPr>
          <w:sz w:val="16"/>
          <w:szCs w:val="16"/>
        </w:rPr>
        <w:t>, vol. 322, no. June, p. 121559, 2025, doi: 10.1016/j.neuroimage.2025.121559.</w:t>
      </w:r>
    </w:p>
    <w:p w14:paraId="629E9EFE">
      <w:pPr>
        <w:widowControl w:val="0"/>
        <w:autoSpaceDE w:val="0"/>
        <w:autoSpaceDN w:val="0"/>
        <w:adjustRightInd w:val="0"/>
        <w:ind w:left="363" w:hanging="363"/>
        <w:rPr>
          <w:sz w:val="16"/>
          <w:szCs w:val="16"/>
        </w:rPr>
      </w:pPr>
      <w:r>
        <w:rPr>
          <w:sz w:val="16"/>
          <w:szCs w:val="16"/>
        </w:rPr>
        <w:t>[13]</w:t>
      </w:r>
      <w:r>
        <w:rPr>
          <w:sz w:val="16"/>
          <w:szCs w:val="16"/>
        </w:rPr>
        <w:tab/>
      </w:r>
      <w:r>
        <w:rPr>
          <w:rFonts w:hint="default"/>
          <w:sz w:val="16"/>
          <w:szCs w:val="16"/>
        </w:rPr>
        <w:t xml:space="preserve">E. Y. Shchuchkin, “Pre-layout DC–DC converter conductive EMI level estimation,” </w:t>
      </w:r>
      <w:r>
        <w:rPr>
          <w:rFonts w:hint="default"/>
          <w:i/>
          <w:iCs/>
          <w:sz w:val="16"/>
          <w:szCs w:val="16"/>
        </w:rPr>
        <w:t>AIP Conf. Proc.,</w:t>
      </w:r>
      <w:r>
        <w:rPr>
          <w:rFonts w:hint="default"/>
          <w:sz w:val="16"/>
          <w:szCs w:val="16"/>
        </w:rPr>
        <w:t xml:space="preserve"> Dec. 2022, doi: 10.1063/5.0128374.</w:t>
      </w:r>
    </w:p>
    <w:p w14:paraId="50D37EC1">
      <w:pPr>
        <w:widowControl w:val="0"/>
        <w:autoSpaceDE w:val="0"/>
        <w:autoSpaceDN w:val="0"/>
        <w:ind w:left="363" w:hanging="363"/>
        <w:rPr>
          <w:color w:val="FF0000"/>
          <w:sz w:val="18"/>
        </w:rPr>
      </w:pPr>
      <w:r>
        <w:rPr>
          <w:sz w:val="16"/>
          <w:szCs w:val="16"/>
        </w:rPr>
        <w:t>[14]</w:t>
      </w:r>
      <w:r>
        <w:rPr>
          <w:sz w:val="16"/>
          <w:szCs w:val="16"/>
        </w:rPr>
        <w:tab/>
      </w:r>
      <w:r>
        <w:rPr>
          <w:sz w:val="16"/>
          <w:szCs w:val="16"/>
        </w:rPr>
        <w:t xml:space="preserve">B. J. Lee, R. D. Watkins, C. M. Chang, and C. S. Levin, “Low eddy current rf shielding enclosure designs for 3t mr applications,” </w:t>
      </w:r>
      <w:r>
        <w:rPr>
          <w:i/>
          <w:iCs/>
          <w:sz w:val="16"/>
          <w:szCs w:val="16"/>
        </w:rPr>
        <w:t>Magn. Reson. Med.</w:t>
      </w:r>
      <w:r>
        <w:rPr>
          <w:sz w:val="16"/>
          <w:szCs w:val="16"/>
        </w:rPr>
        <w:t>, vol. 79, no. 3, pp. 1745–1752, 2018, doi: 10.1002/mrm.26766.</w:t>
      </w:r>
      <w:r>
        <w:rPr>
          <w:color w:val="FF0000"/>
          <w:sz w:val="16"/>
          <w:szCs w:val="16"/>
        </w:rPr>
        <w:fldChar w:fldCharType="end"/>
      </w:r>
    </w:p>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User" w:date="2025-12-16T08:50:00Z" w:initials="">
    <w:p w14:paraId="0F2377BC">
      <w:pPr>
        <w:pStyle w:val="12"/>
        <w:rPr>
          <w:lang w:val="en-US"/>
        </w:rPr>
      </w:pPr>
      <w:r>
        <w:rPr>
          <w:lang w:val="en-US"/>
        </w:rPr>
        <w:t>In English</w:t>
      </w:r>
    </w:p>
  </w:comment>
  <w:comment w:id="1" w:author="Microsoft User" w:date="2025-12-16T13:31:00Z" w:initials="">
    <w:p w14:paraId="49942F34">
      <w:pPr>
        <w:pStyle w:val="12"/>
        <w:rPr>
          <w:lang w:val="en-US"/>
        </w:rPr>
      </w:pPr>
      <w:r>
        <w:rPr>
          <w:lang w:val="en-US"/>
        </w:rPr>
        <w:t>Define the abbreviation of COSMOS. Eg. Cohort Study on Mobile Phones and Health (COSMOS)</w:t>
      </w:r>
    </w:p>
  </w:comment>
  <w:comment w:id="2" w:author="Microsoft User" w:date="2025-12-16T13:37:00Z" w:initials="">
    <w:p w14:paraId="39FBD1F9">
      <w:pPr>
        <w:pStyle w:val="12"/>
        <w:rPr>
          <w:lang w:val="en-US"/>
        </w:rPr>
      </w:pPr>
      <w:r>
        <w:rPr>
          <w:lang w:val="en-US"/>
        </w:rPr>
        <w:t>Use “previous studies” only if there are more than 1 existing studies.</w:t>
      </w:r>
    </w:p>
  </w:comment>
  <w:comment w:id="3" w:author="Microsoft User" w:date="2025-12-16T13:34:00Z" w:initials="">
    <w:p w14:paraId="7367F839">
      <w:pPr>
        <w:pStyle w:val="12"/>
        <w:rPr>
          <w:lang w:val="en-US"/>
        </w:rPr>
      </w:pPr>
      <w:r>
        <w:rPr>
          <w:lang w:val="en-US"/>
        </w:rPr>
        <w:t>This part is ambiguous. Please highlight drawback/limitation of previous study [3] before highlighting the originality of your study.</w:t>
      </w:r>
    </w:p>
  </w:comment>
  <w:comment w:id="4" w:author="Microsoft User" w:date="2025-12-16T13:49:00Z" w:initials="">
    <w:p w14:paraId="3DB5D088">
      <w:pPr>
        <w:pStyle w:val="12"/>
        <w:rPr>
          <w:lang w:val="en-US"/>
        </w:rPr>
      </w:pPr>
      <w:r>
        <w:rPr>
          <w:lang w:val="en-US"/>
        </w:rPr>
        <w:t>Define the abbreviation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2377BC" w15:done="1"/>
  <w15:commentEx w15:paraId="49942F34" w15:done="1"/>
  <w15:commentEx w15:paraId="39FBD1F9" w15:done="1"/>
  <w15:commentEx w15:paraId="7367F839" w15:done="1"/>
  <w15:commentEx w15:paraId="3DB5D088"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BE77">
    <w:pPr>
      <w:pStyle w:val="19"/>
      <w:pBdr>
        <w:bottom w:val="single" w:color="auto" w:sz="4" w:space="1"/>
      </w:pBdr>
      <w:ind w:firstLine="0"/>
    </w:pPr>
  </w:p>
  <w:p w14:paraId="4B5711BB">
    <w:pPr>
      <w:pStyle w:val="16"/>
      <w:ind w:firstLine="0"/>
      <w:jc w:val="left"/>
    </w:pPr>
    <w:r>
      <w:rPr>
        <w:sz w:val="16"/>
        <w:szCs w:val="16"/>
      </w:rPr>
      <w:t>p-ISSN: 1411-8289; e-ISSN: 2527-9955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80E6">
    <w:pPr>
      <w:pStyle w:val="19"/>
      <w:pBdr>
        <w:bottom w:val="single" w:color="auto" w:sz="4" w:space="1"/>
      </w:pBdr>
      <w:tabs>
        <w:tab w:val="left" w:pos="7320"/>
      </w:tabs>
      <w:ind w:firstLine="0"/>
    </w:pPr>
  </w:p>
  <w:p w14:paraId="67DAE9BB">
    <w:pPr>
      <w:pStyle w:val="16"/>
      <w:jc w:val="right"/>
    </w:pPr>
    <w:r>
      <w:rPr>
        <w:sz w:val="16"/>
        <w:szCs w:val="16"/>
      </w:rPr>
      <w:t xml:space="preserve">JURNAL ELEKTRONIKA DAN TELEKOMUNIKASI, Vol. </w:t>
    </w:r>
    <w:r>
      <w:rPr>
        <w:rFonts w:hint="default"/>
        <w:sz w:val="16"/>
        <w:szCs w:val="16"/>
        <w:lang w:val="en-US"/>
      </w:rPr>
      <w:t>25</w:t>
    </w:r>
    <w:r>
      <w:rPr>
        <w:sz w:val="16"/>
        <w:szCs w:val="16"/>
      </w:rPr>
      <w:t>, No.</w:t>
    </w:r>
    <w:r>
      <w:rPr>
        <w:rFonts w:hint="default"/>
        <w:sz w:val="16"/>
        <w:szCs w:val="16"/>
        <w:lang w:val="en-US"/>
      </w:rPr>
      <w:t xml:space="preserve"> 2</w:t>
    </w:r>
    <w:r>
      <w:rPr>
        <w:sz w:val="16"/>
        <w:szCs w:val="16"/>
      </w:rPr>
      <w:t xml:space="preserve">, </w:t>
    </w:r>
    <w:r>
      <w:rPr>
        <w:rFonts w:hint="default"/>
        <w:sz w:val="16"/>
        <w:szCs w:val="16"/>
        <w:lang w:val="en-US"/>
      </w:rPr>
      <w:t>December 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4325">
    <w:pPr>
      <w:pStyle w:val="1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D482">
    <w:pPr>
      <w:pStyle w:val="19"/>
      <w:pBdr>
        <w:bottom w:val="single" w:color="auto" w:sz="4" w:space="1"/>
      </w:pBdr>
      <w:ind w:firstLine="0"/>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16</w:t>
    </w:r>
    <w:r>
      <w:rPr>
        <w:sz w:val="16"/>
        <w:szCs w:val="16"/>
      </w:rPr>
      <w:fldChar w:fldCharType="end"/>
    </w:r>
    <w:r>
      <w:rPr>
        <w:sz w:val="16"/>
        <w:szCs w:val="16"/>
      </w:rPr>
      <w:t xml:space="preserve">  </w:t>
    </w:r>
    <w:r>
      <w:rPr>
        <w:sz w:val="16"/>
        <w:szCs w:val="16"/>
      </w:rPr>
      <w:sym w:font="Symbol" w:char="F0B7"/>
    </w:r>
    <w:r>
      <w:rPr>
        <w:sz w:val="16"/>
        <w:szCs w:val="16"/>
      </w:rPr>
      <w:t xml:space="preserve">  </w:t>
    </w:r>
    <w:r>
      <w:rPr>
        <w:rFonts w:hint="default"/>
        <w:sz w:val="16"/>
        <w:szCs w:val="16"/>
        <w:lang w:val="en-US"/>
      </w:rPr>
      <w:t>Bayu Wira Yudha</w:t>
    </w:r>
    <w:r>
      <w:rPr>
        <w:sz w:val="16"/>
        <w:szCs w:val="16"/>
        <w:lang w:val="en-US"/>
      </w:rPr>
      <w:t>,</w:t>
    </w:r>
    <w:r>
      <w:rPr>
        <w:sz w:val="16"/>
        <w:szCs w:val="16"/>
      </w:rPr>
      <w:t xml:space="preserve"> et. al.</w:t>
    </w:r>
  </w:p>
  <w:p w14:paraId="3A23C103">
    <w:pPr>
      <w:pStyle w:val="19"/>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A7C2">
    <w:pPr>
      <w:pStyle w:val="23"/>
      <w:spacing w:after="0"/>
      <w:jc w:val="right"/>
      <w:rPr>
        <w:b w:val="0"/>
        <w:iCs/>
        <w:sz w:val="16"/>
        <w:szCs w:val="16"/>
      </w:rPr>
    </w:pPr>
    <w:r>
      <w:rPr>
        <w:rFonts w:hint="default"/>
        <w:b w:val="0"/>
        <w:sz w:val="16"/>
        <w:szCs w:val="16"/>
      </w:rPr>
      <w:t>Comparative Analysis and Mitigation of Extremely Low Frequency (ELF) Magnetic Field Exposure from Smartphone Internal</w:t>
    </w:r>
    <w:r>
      <w:rPr>
        <w:b w:val="0"/>
        <w:sz w:val="16"/>
        <w:szCs w:val="16"/>
      </w:rPr>
      <w:t xml:space="preserve">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Pr>
        <w:b w:val="0"/>
        <w:sz w:val="16"/>
        <w:szCs w:val="16"/>
      </w:rPr>
      <w:t>15</w:t>
    </w:r>
    <w:r>
      <w:rPr>
        <w:b w:val="0"/>
        <w:sz w:val="16"/>
        <w:szCs w:val="16"/>
      </w:rPr>
      <w:fldChar w:fldCharType="end"/>
    </w:r>
  </w:p>
  <w:p w14:paraId="399AD69C">
    <w:pPr>
      <w:pStyle w:val="19"/>
      <w:pBdr>
        <w:bottom w:val="single" w:color="auto" w:sz="4" w:space="0"/>
      </w:pBdr>
      <w:ind w:firstLine="0"/>
      <w:rPr>
        <w:sz w:val="2"/>
        <w:szCs w:val="2"/>
      </w:rPr>
    </w:pPr>
  </w:p>
  <w:p w14:paraId="42E4B58A">
    <w:pPr>
      <w:pStyle w:val="19"/>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AD01">
    <w:pPr>
      <w:pStyle w:val="19"/>
      <w:pBdr>
        <w:bottom w:val="none" w:color="auto" w:sz="0" w:space="0"/>
      </w:pBdr>
      <w:ind w:firstLine="0"/>
      <w:rPr>
        <w:rFonts w:hint="default"/>
        <w:lang w:val="en-US"/>
      </w:rPr>
    </w:pPr>
    <w:r>
      <w:rPr>
        <w:rFonts w:hint="default"/>
        <w:b/>
        <w:lang w:val="en-US"/>
      </w:rPr>
      <w:tab/>
    </w:r>
    <w:r>
      <w:rPr>
        <w:rFonts w:hint="default"/>
        <w:b/>
        <w:lang w:val="en-US"/>
      </w:rPr>
      <w:t xml:space="preserve">            </w:t>
    </w:r>
    <w:r>
      <w:rPr>
        <w:b/>
      </w:rPr>
      <w:t>Jurnal Elektronika dan Telekomunikasi (JET)</w:t>
    </w:r>
    <w:r>
      <w:t>, Vol. 2</w:t>
    </w:r>
    <w:r>
      <w:rPr>
        <w:rFonts w:hint="default"/>
        <w:lang w:val="en-US"/>
      </w:rPr>
      <w:t>5</w:t>
    </w:r>
    <w:r>
      <w:t>, No.</w:t>
    </w:r>
    <w:r>
      <w:rPr>
        <w:rFonts w:hint="default"/>
        <w:lang w:val="en-US"/>
      </w:rPr>
      <w:t xml:space="preserve"> 2</w:t>
    </w:r>
    <w:r>
      <w:t xml:space="preserve">, </w:t>
    </w:r>
    <w:r>
      <w:rPr>
        <w:rFonts w:hint="default"/>
        <w:lang w:val="en-US"/>
      </w:rPr>
      <w:t xml:space="preserve">December </w:t>
    </w:r>
    <w:r>
      <w:rPr>
        <w:lang w:val="en-US"/>
      </w:rPr>
      <w:t>202</w:t>
    </w:r>
    <w:r>
      <w:rPr>
        <w:rFonts w:hint="default"/>
        <w:lang w:val="en-US"/>
      </w:rPr>
      <w:t>5</w:t>
    </w:r>
    <w:r>
      <w:t xml:space="preserve">, pp. </w:t>
    </w:r>
    <w:r>
      <w:rPr>
        <w:rFonts w:hint="default"/>
        <w:sz w:val="20"/>
        <w:lang w:val="en-US"/>
      </w:rPr>
      <mc:AlternateContent>
        <mc:Choice Requires="wps">
          <w:drawing>
            <wp:anchor distT="0" distB="0" distL="114300" distR="114300" simplePos="0" relativeHeight="251662336" behindDoc="0" locked="0" layoutInCell="1" allowOverlap="1">
              <wp:simplePos x="0" y="0"/>
              <wp:positionH relativeFrom="margin">
                <wp:posOffset>2853055</wp:posOffset>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F4E4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65pt;margin-top:0pt;height:144pt;width:144pt;mso-position-horizontal-relative:margin;mso-wrap-style:none;z-index:251662336;mso-width-relative:page;mso-height-relative:page;" filled="f" stroked="f" coordsize="21600,21600" o:gfxdata="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JU61Z1QAA&#10;AAgBAAAPAAAAAAAAAAEAIAAAACIAAABkcnMvZG93bnJldi54bWxQSwECFAAUAAAACACHTuJAZkBm&#10;RCECAABiBAAADgAAAAAAAAABACAAAAAkAQAAZHJzL2Uyb0RvYy54bWxQSwUGAAAAAAYABgBZAQAA&#10;twUAAAAA&#10;">
              <v:fill on="f" focussize="0,0"/>
              <v:stroke on="f" weight="0.5pt"/>
              <v:imagedata o:title=""/>
              <o:lock v:ext="edit" aspectratio="f"/>
              <v:textbox inset="0mm,0mm,0mm,0mm" style="mso-fit-shape-to-text:t;">
                <w:txbxContent>
                  <w:p w14:paraId="3BBF4E4E"/>
                </w:txbxContent>
              </v:textbox>
            </v:shape>
          </w:pict>
        </mc:Fallback>
      </mc:AlternateContent>
    </w:r>
    <w:r>
      <w:rPr>
        <w:rFonts w:hint="default"/>
        <w:sz w:val="20"/>
        <w:lang w:val="en-US"/>
      </w:rPr>
      <mc:AlternateContent>
        <mc:Choice Requires="wps">
          <w:drawing>
            <wp:anchor distT="0" distB="0" distL="114300" distR="114300" simplePos="0" relativeHeight="251662336" behindDoc="0" locked="0" layoutInCell="1" allowOverlap="1">
              <wp:simplePos x="0" y="0"/>
              <wp:positionH relativeFrom="margin">
                <wp:posOffset>2831465</wp:posOffset>
              </wp:positionH>
              <wp:positionV relativeFrom="paragraph">
                <wp:posOffset>4445</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03AC">
                          <w:pPr>
                            <w:pStyle w:val="19"/>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2.95pt;margin-top:0.35pt;height:144pt;width:144pt;mso-position-horizontal-relative:margin;mso-wrap-style:none;z-index:251662336;mso-width-relative:page;mso-height-relative:page;" filled="f" stroked="f" coordsize="21600,21600" o:gfxdata="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K2OydUAAAAIAQAADwAAAAAAAAABACAAAAAiAAAAZHJzL2Rvd25yZXYueG1sUEsBAhQAFAAA&#10;AAgAh07iQHj9/y25AQAAmgMAAA4AAAAAAAAAAQAgAAAAJAEAAGRycy9lMm9Eb2MueG1sUEsFBgAA&#10;AAAGAAYAWQEAAE8FAAAAAA==&#10;">
              <v:fill on="f" focussize="0,0"/>
              <v:stroke on="f"/>
              <v:imagedata o:title=""/>
              <o:lock v:ext="edit" aspectratio="f"/>
              <v:textbox inset="0mm,0mm,0mm,0mm" style="mso-fit-shape-to-text:t;">
                <w:txbxContent>
                  <w:p w14:paraId="781703AC">
                    <w:pPr>
                      <w:pStyle w:val="19"/>
                    </w:pPr>
                  </w:p>
                </w:txbxContent>
              </v:textbox>
            </v:shape>
          </w:pict>
        </mc:Fallback>
      </mc:AlternateContent>
    </w:r>
    <w:r>
      <w:rPr>
        <w:rFonts w:hint="default"/>
        <w:lang w:val="en-US"/>
      </w:rPr>
      <w:drawing>
        <wp:anchor distT="0" distB="0" distL="114300" distR="114300" simplePos="0" relativeHeight="251661312" behindDoc="0" locked="0" layoutInCell="1" allowOverlap="1">
          <wp:simplePos x="0" y="0"/>
          <wp:positionH relativeFrom="column">
            <wp:posOffset>-36830</wp:posOffset>
          </wp:positionH>
          <wp:positionV relativeFrom="paragraph">
            <wp:posOffset>-63500</wp:posOffset>
          </wp:positionV>
          <wp:extent cx="749300" cy="466090"/>
          <wp:effectExtent l="0" t="0" r="12700" b="6350"/>
          <wp:wrapSquare wrapText="bothSides"/>
          <wp:docPr id="41" name="Picture 41"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Users\chaeriah\Videos\JET_logo.png"/>
                  <pic:cNvPicPr>
                    <a:picLocks noChangeAspect="1"/>
                  </pic:cNvPicPr>
                </pic:nvPicPr>
                <pic:blipFill>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a:fillRect/>
                  </a:stretch>
                </pic:blipFill>
                <pic:spPr>
                  <a:xfrm>
                    <a:off x="0" y="0"/>
                    <a:ext cx="749300" cy="466090"/>
                  </a:xfrm>
                  <a:prstGeom prst="rect">
                    <a:avLst/>
                  </a:prstGeom>
                  <a:noFill/>
                  <a:ln>
                    <a:noFill/>
                  </a:ln>
                </pic:spPr>
              </pic:pic>
            </a:graphicData>
          </a:graphic>
        </wp:anchor>
      </w:drawing>
    </w:r>
    <w:r>
      <w:rPr>
        <w:rFonts w:hint="default"/>
        <w:lang w:val="en-US"/>
      </w:rPr>
      <w:t>141-147</w:t>
    </w:r>
    <w:r>
      <w:rPr>
        <w:rFonts w:hint="default"/>
        <w:b/>
        <w:lang w:val="en-US"/>
      </w:rPr>
      <w:tab/>
    </w:r>
    <w:r>
      <w:rPr>
        <w:rFonts w:hint="default"/>
        <w:b/>
        <w:lang w:val="en-US"/>
      </w:rPr>
      <w:t xml:space="preserve">   </w:t>
    </w:r>
  </w:p>
  <w:p w14:paraId="00856137">
    <w:pPr>
      <w:pStyle w:val="19"/>
      <w:pBdr>
        <w:bottom w:val="none" w:color="auto" w:sz="0" w:space="0"/>
      </w:pBdr>
      <w:ind w:left="1134" w:firstLine="0"/>
      <w:rPr>
        <w:lang w:val="en-US"/>
      </w:rPr>
    </w:pPr>
    <w:r>
      <w:t xml:space="preserve">Accredited by RISTEKDIKTI, Decree No: </w:t>
    </w:r>
    <w:r>
      <w:rPr>
        <w:b/>
        <w:bCs/>
        <w:lang w:val="en-US"/>
      </w:rPr>
      <w:t>158</w:t>
    </w:r>
    <w:r>
      <w:rPr>
        <w:b/>
        <w:bCs/>
        <w:iCs/>
      </w:rPr>
      <w:t>/E/KPT/20</w:t>
    </w:r>
    <w:r>
      <w:rPr>
        <w:b/>
        <w:bCs/>
        <w:iCs/>
        <w:lang w:val="en-US"/>
      </w:rPr>
      <w:t>21</w:t>
    </w:r>
  </w:p>
  <w:p w14:paraId="1771E7D5">
    <w:pPr>
      <w:pStyle w:val="19"/>
      <w:pBdr>
        <w:bottom w:val="none" w:color="auto" w:sz="0" w:space="0"/>
      </w:pBdr>
      <w:ind w:left="1134" w:firstLine="0"/>
      <w:rPr>
        <w:rFonts w:hint="default"/>
        <w:lang w:val="en-US"/>
      </w:rPr>
    </w:pPr>
    <w:r>
      <w:rPr>
        <w:lang w:eastAsia="id-ID"/>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192405</wp:posOffset>
              </wp:positionV>
              <wp:extent cx="5965825" cy="0"/>
              <wp:effectExtent l="0" t="19050" r="8255" b="26670"/>
              <wp:wrapNone/>
              <wp:docPr id="20" name="Straight Connector 20"/>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1.4pt;margin-top:15.15pt;height:0pt;width:469.75pt;z-index:251660288;mso-width-relative:page;mso-height-relative:page;" filled="f" stroked="t" coordsize="21600,21600" o:gfxdata="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pAgP1gAAAAgBAAAP&#10;AAAAAAAAAAEAIAAAACIAAABkcnMvZG93bnJldi54bWxQSwECFAAUAAAACACHTuJAPxusEeEBAADJ&#10;AwAADgAAAAAAAAABACAAAAAlAQAAZHJzL2Uyb0RvYy54bWxQSwUGAAAAAAYABgBZAQAAeAUAAAAA&#10;">
              <v:fill on="f" focussize="0,0"/>
              <v:stroke weight="3pt" color="#000000" linestyle="thinThin" joinstyle="round"/>
              <v:imagedata o:title=""/>
              <o:lock v:ext="edit" aspectratio="f"/>
            </v:line>
          </w:pict>
        </mc:Fallback>
      </mc:AlternateContent>
    </w:r>
    <w:r>
      <w:t>doi: 10.</w:t>
    </w:r>
    <w:r>
      <w:rPr>
        <w:lang w:val="en-US"/>
      </w:rPr>
      <w:t>55981</w:t>
    </w:r>
    <w:r>
      <w:t>/jet.</w:t>
    </w:r>
    <w:r>
      <w:rPr>
        <w:rFonts w:hint="default"/>
        <w:lang w:val="en-US"/>
      </w:rPr>
      <w:t>781</w:t>
    </w:r>
  </w:p>
  <w:p w14:paraId="36B1483B">
    <w:pPr>
      <w:pStyle w:val="19"/>
      <w:ind w:firstLine="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87A74">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57787A74">
                    <w:pPr>
                      <w:pStyle w:val="1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E2E4D"/>
    <w:multiLevelType w:val="multilevel"/>
    <w:tmpl w:val="023E2E4D"/>
    <w:lvl w:ilvl="0" w:tentative="0">
      <w:start w:val="1"/>
      <w:numFmt w:val="upperRoman"/>
      <w:pStyle w:val="59"/>
      <w:lvlText w:val="%1."/>
      <w:lvlJc w:val="left"/>
      <w:pPr>
        <w:tabs>
          <w:tab w:val="left" w:pos="288"/>
        </w:tabs>
        <w:ind w:left="288" w:hanging="288"/>
      </w:pPr>
      <w:rPr>
        <w:rFonts w:hint="default" w:ascii="Times New Roman" w:hAnsi="Times New Roman" w:eastAsia="Arial Unicode MS" w:cs="Times New Roman"/>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93D103A"/>
    <w:multiLevelType w:val="multilevel"/>
    <w:tmpl w:val="093D103A"/>
    <w:lvl w:ilvl="0" w:tentative="0">
      <w:start w:val="1"/>
      <w:numFmt w:val="upperRoman"/>
      <w:pStyle w:val="2"/>
      <w:lvlText w:val="%1."/>
      <w:lvlJc w:val="left"/>
      <w:pPr>
        <w:ind w:left="360" w:hanging="360"/>
      </w:pPr>
      <w:rPr>
        <w:rFonts w:hint="default"/>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1DB136AD"/>
    <w:multiLevelType w:val="multilevel"/>
    <w:tmpl w:val="1DB136AD"/>
    <w:lvl w:ilvl="0" w:tentative="0">
      <w:start w:val="1"/>
      <w:numFmt w:val="decimal"/>
      <w:pStyle w:val="4"/>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6111FF6"/>
    <w:multiLevelType w:val="multilevel"/>
    <w:tmpl w:val="26111FF6"/>
    <w:lvl w:ilvl="0" w:tentative="0">
      <w:start w:val="1"/>
      <w:numFmt w:val="upperRoman"/>
      <w:pStyle w:val="26"/>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CAD2F3A"/>
    <w:multiLevelType w:val="multilevel"/>
    <w:tmpl w:val="2CAD2F3A"/>
    <w:lvl w:ilvl="0" w:tentative="0">
      <w:start w:val="1"/>
      <w:numFmt w:val="lowerLetter"/>
      <w:pStyle w:val="5"/>
      <w:lvlText w:val="%1)"/>
      <w:lvlJc w:val="left"/>
      <w:pPr>
        <w:ind w:left="644" w:hanging="360"/>
      </w:pPr>
      <w:rPr>
        <w:rFonts w:hint="default"/>
        <w:i/>
        <w:color w:val="000000" w:themeColor="text1"/>
        <w14:textFill>
          <w14:solidFill>
            <w14:schemeClr w14:val="tx1"/>
          </w14:solidFill>
        </w14:textFill>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30C653B9"/>
    <w:multiLevelType w:val="multilevel"/>
    <w:tmpl w:val="30C653B9"/>
    <w:lvl w:ilvl="0" w:tentative="0">
      <w:start w:val="1"/>
      <w:numFmt w:val="upperLetter"/>
      <w:pStyle w:val="3"/>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3EDB2783"/>
    <w:multiLevelType w:val="multilevel"/>
    <w:tmpl w:val="3EDB2783"/>
    <w:lvl w:ilvl="0" w:tentative="0">
      <w:start w:val="1"/>
      <w:numFmt w:val="upperLetter"/>
      <w:pStyle w:val="27"/>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0232215"/>
    <w:multiLevelType w:val="multilevel"/>
    <w:tmpl w:val="50232215"/>
    <w:lvl w:ilvl="0" w:tentative="0">
      <w:start w:val="1"/>
      <w:numFmt w:val="upperLetter"/>
      <w:pStyle w:val="57"/>
      <w:lvlText w:val="%1."/>
      <w:lvlJc w:val="left"/>
      <w:pPr>
        <w:tabs>
          <w:tab w:val="left"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7"/>
  </w:num>
  <w:num w:numId="8">
    <w:abstractNumId w:val="0"/>
  </w:num>
  <w:num w:numId="9">
    <w:abstractNumId w:val="5"/>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User">
    <w15:presenceInfo w15:providerId="None" w15:userId="Microsoft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revisionView w:markup="0"/>
  <w:trackRevisions w:val="1"/>
  <w:documentProtection w:enforcement="0"/>
  <w:defaultTabStop w:val="720"/>
  <w:evenAndOddHeaders w:val="1"/>
  <w:characterSpacingControl w:val="doNotCompress"/>
  <w:footnotePr>
    <w:numFmt w:val="chicago"/>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zExNjAxtDAwMDZW0lEKTi0uzszPAykwNKoFAE7M1AAtAAAA"/>
  </w:docVars>
  <w:rsids>
    <w:rsidRoot w:val="009431ED"/>
    <w:rsid w:val="000001BB"/>
    <w:rsid w:val="00000A6A"/>
    <w:rsid w:val="00003645"/>
    <w:rsid w:val="00011CC0"/>
    <w:rsid w:val="00012AA4"/>
    <w:rsid w:val="000135D7"/>
    <w:rsid w:val="000151F3"/>
    <w:rsid w:val="00016DB5"/>
    <w:rsid w:val="00017598"/>
    <w:rsid w:val="000200AF"/>
    <w:rsid w:val="00021807"/>
    <w:rsid w:val="0002216B"/>
    <w:rsid w:val="00022725"/>
    <w:rsid w:val="00030518"/>
    <w:rsid w:val="00032AD0"/>
    <w:rsid w:val="000360C4"/>
    <w:rsid w:val="00037D72"/>
    <w:rsid w:val="00040150"/>
    <w:rsid w:val="000500B7"/>
    <w:rsid w:val="00057D1C"/>
    <w:rsid w:val="00060B8E"/>
    <w:rsid w:val="000642F3"/>
    <w:rsid w:val="000733BD"/>
    <w:rsid w:val="0007439F"/>
    <w:rsid w:val="00077D19"/>
    <w:rsid w:val="0008014D"/>
    <w:rsid w:val="00080872"/>
    <w:rsid w:val="00081360"/>
    <w:rsid w:val="000813C4"/>
    <w:rsid w:val="00082AAD"/>
    <w:rsid w:val="00084C56"/>
    <w:rsid w:val="00086DEF"/>
    <w:rsid w:val="00086E06"/>
    <w:rsid w:val="00090287"/>
    <w:rsid w:val="00090BAC"/>
    <w:rsid w:val="000924BA"/>
    <w:rsid w:val="0009779B"/>
    <w:rsid w:val="000A03A7"/>
    <w:rsid w:val="000A2BC0"/>
    <w:rsid w:val="000A4616"/>
    <w:rsid w:val="000B3594"/>
    <w:rsid w:val="000B70E0"/>
    <w:rsid w:val="000C00DF"/>
    <w:rsid w:val="000C140B"/>
    <w:rsid w:val="000C2A06"/>
    <w:rsid w:val="000C5820"/>
    <w:rsid w:val="000C76F1"/>
    <w:rsid w:val="000C7F61"/>
    <w:rsid w:val="000D0E05"/>
    <w:rsid w:val="000D24E5"/>
    <w:rsid w:val="000D27D7"/>
    <w:rsid w:val="000D60B1"/>
    <w:rsid w:val="000E1211"/>
    <w:rsid w:val="000E1A98"/>
    <w:rsid w:val="000E6524"/>
    <w:rsid w:val="000F1C43"/>
    <w:rsid w:val="000F58FF"/>
    <w:rsid w:val="000F5C2B"/>
    <w:rsid w:val="000F7987"/>
    <w:rsid w:val="001024FC"/>
    <w:rsid w:val="00102DD4"/>
    <w:rsid w:val="0010323D"/>
    <w:rsid w:val="00105FEE"/>
    <w:rsid w:val="001073ED"/>
    <w:rsid w:val="001076D9"/>
    <w:rsid w:val="001126E4"/>
    <w:rsid w:val="0011531D"/>
    <w:rsid w:val="00115C48"/>
    <w:rsid w:val="001241E2"/>
    <w:rsid w:val="00125EE9"/>
    <w:rsid w:val="00126959"/>
    <w:rsid w:val="00131DD2"/>
    <w:rsid w:val="00132966"/>
    <w:rsid w:val="001344DD"/>
    <w:rsid w:val="00136688"/>
    <w:rsid w:val="00136F6B"/>
    <w:rsid w:val="00137A72"/>
    <w:rsid w:val="00141248"/>
    <w:rsid w:val="00141A15"/>
    <w:rsid w:val="00151393"/>
    <w:rsid w:val="00155B36"/>
    <w:rsid w:val="00156719"/>
    <w:rsid w:val="00156C17"/>
    <w:rsid w:val="00157451"/>
    <w:rsid w:val="001603D8"/>
    <w:rsid w:val="00163B42"/>
    <w:rsid w:val="00164B85"/>
    <w:rsid w:val="00166938"/>
    <w:rsid w:val="001703B3"/>
    <w:rsid w:val="0017070E"/>
    <w:rsid w:val="001751CD"/>
    <w:rsid w:val="00175D5E"/>
    <w:rsid w:val="001812B4"/>
    <w:rsid w:val="0018553F"/>
    <w:rsid w:val="001855EA"/>
    <w:rsid w:val="00185ADB"/>
    <w:rsid w:val="00185C4B"/>
    <w:rsid w:val="001866E4"/>
    <w:rsid w:val="00187245"/>
    <w:rsid w:val="00192577"/>
    <w:rsid w:val="001A0838"/>
    <w:rsid w:val="001A0E07"/>
    <w:rsid w:val="001B3DAC"/>
    <w:rsid w:val="001B6F95"/>
    <w:rsid w:val="001B7DF1"/>
    <w:rsid w:val="001C1DE8"/>
    <w:rsid w:val="001C31A1"/>
    <w:rsid w:val="001C3231"/>
    <w:rsid w:val="001C4D92"/>
    <w:rsid w:val="001D4587"/>
    <w:rsid w:val="001D50BA"/>
    <w:rsid w:val="001D6A5F"/>
    <w:rsid w:val="001D6C51"/>
    <w:rsid w:val="001E04EE"/>
    <w:rsid w:val="001E6F3B"/>
    <w:rsid w:val="001F14BF"/>
    <w:rsid w:val="001F27C6"/>
    <w:rsid w:val="001F5D00"/>
    <w:rsid w:val="001F70CD"/>
    <w:rsid w:val="001F72D1"/>
    <w:rsid w:val="001F7907"/>
    <w:rsid w:val="0020093F"/>
    <w:rsid w:val="00202B04"/>
    <w:rsid w:val="00203472"/>
    <w:rsid w:val="00203FBD"/>
    <w:rsid w:val="002052A5"/>
    <w:rsid w:val="002117C3"/>
    <w:rsid w:val="002127CE"/>
    <w:rsid w:val="002171F8"/>
    <w:rsid w:val="002174A5"/>
    <w:rsid w:val="0022083B"/>
    <w:rsid w:val="002222AA"/>
    <w:rsid w:val="00222D22"/>
    <w:rsid w:val="00224C20"/>
    <w:rsid w:val="00225D60"/>
    <w:rsid w:val="00235716"/>
    <w:rsid w:val="00263AE0"/>
    <w:rsid w:val="002660F9"/>
    <w:rsid w:val="002673DE"/>
    <w:rsid w:val="00272952"/>
    <w:rsid w:val="002748C9"/>
    <w:rsid w:val="00275522"/>
    <w:rsid w:val="00281EB1"/>
    <w:rsid w:val="0028270D"/>
    <w:rsid w:val="00291BAD"/>
    <w:rsid w:val="0029789D"/>
    <w:rsid w:val="002A014C"/>
    <w:rsid w:val="002A0D31"/>
    <w:rsid w:val="002A60CB"/>
    <w:rsid w:val="002A7B98"/>
    <w:rsid w:val="002B7ED0"/>
    <w:rsid w:val="002C4174"/>
    <w:rsid w:val="002C6F5D"/>
    <w:rsid w:val="002D1AB2"/>
    <w:rsid w:val="002D211D"/>
    <w:rsid w:val="002D6170"/>
    <w:rsid w:val="002D6291"/>
    <w:rsid w:val="002E0949"/>
    <w:rsid w:val="002E0BC2"/>
    <w:rsid w:val="002E107A"/>
    <w:rsid w:val="002E4626"/>
    <w:rsid w:val="002E5DA6"/>
    <w:rsid w:val="002E6A93"/>
    <w:rsid w:val="002F1D80"/>
    <w:rsid w:val="002F2DA5"/>
    <w:rsid w:val="002F4569"/>
    <w:rsid w:val="002F7282"/>
    <w:rsid w:val="003017BE"/>
    <w:rsid w:val="00305A08"/>
    <w:rsid w:val="00307C7F"/>
    <w:rsid w:val="00312F2F"/>
    <w:rsid w:val="00313E92"/>
    <w:rsid w:val="0031456F"/>
    <w:rsid w:val="003147DB"/>
    <w:rsid w:val="0032018A"/>
    <w:rsid w:val="00322DF1"/>
    <w:rsid w:val="00330293"/>
    <w:rsid w:val="00330BB0"/>
    <w:rsid w:val="00334C3C"/>
    <w:rsid w:val="00343816"/>
    <w:rsid w:val="00344ABF"/>
    <w:rsid w:val="00346E33"/>
    <w:rsid w:val="0034739A"/>
    <w:rsid w:val="00351D63"/>
    <w:rsid w:val="00352C1D"/>
    <w:rsid w:val="00354FD0"/>
    <w:rsid w:val="00355798"/>
    <w:rsid w:val="00357CE2"/>
    <w:rsid w:val="003666E5"/>
    <w:rsid w:val="00366AD2"/>
    <w:rsid w:val="00366D6F"/>
    <w:rsid w:val="00370DC5"/>
    <w:rsid w:val="00371CDF"/>
    <w:rsid w:val="00373B0C"/>
    <w:rsid w:val="00373CBE"/>
    <w:rsid w:val="00374471"/>
    <w:rsid w:val="0037578D"/>
    <w:rsid w:val="00375A56"/>
    <w:rsid w:val="00376B97"/>
    <w:rsid w:val="00380676"/>
    <w:rsid w:val="0038584A"/>
    <w:rsid w:val="00386C7E"/>
    <w:rsid w:val="003900CB"/>
    <w:rsid w:val="0039100C"/>
    <w:rsid w:val="00391CF2"/>
    <w:rsid w:val="00392974"/>
    <w:rsid w:val="00394542"/>
    <w:rsid w:val="00396BCF"/>
    <w:rsid w:val="003A03E0"/>
    <w:rsid w:val="003A1E8D"/>
    <w:rsid w:val="003A1F77"/>
    <w:rsid w:val="003A4520"/>
    <w:rsid w:val="003A4D19"/>
    <w:rsid w:val="003A4D5D"/>
    <w:rsid w:val="003A7F3A"/>
    <w:rsid w:val="003B3390"/>
    <w:rsid w:val="003B47A6"/>
    <w:rsid w:val="003B4A29"/>
    <w:rsid w:val="003B4CDC"/>
    <w:rsid w:val="003B7792"/>
    <w:rsid w:val="003C1377"/>
    <w:rsid w:val="003C47D8"/>
    <w:rsid w:val="003C66F5"/>
    <w:rsid w:val="003D5750"/>
    <w:rsid w:val="003D619E"/>
    <w:rsid w:val="003E2585"/>
    <w:rsid w:val="003E3949"/>
    <w:rsid w:val="003E395D"/>
    <w:rsid w:val="003F16C3"/>
    <w:rsid w:val="003F1A61"/>
    <w:rsid w:val="003F31E6"/>
    <w:rsid w:val="003F7BCA"/>
    <w:rsid w:val="00400D4B"/>
    <w:rsid w:val="00400DC6"/>
    <w:rsid w:val="0040318F"/>
    <w:rsid w:val="0040644A"/>
    <w:rsid w:val="0040754A"/>
    <w:rsid w:val="00421110"/>
    <w:rsid w:val="004218C2"/>
    <w:rsid w:val="00421F1C"/>
    <w:rsid w:val="004272D3"/>
    <w:rsid w:val="00427C1D"/>
    <w:rsid w:val="0043116B"/>
    <w:rsid w:val="004320D2"/>
    <w:rsid w:val="0044046D"/>
    <w:rsid w:val="004407B4"/>
    <w:rsid w:val="00440FAA"/>
    <w:rsid w:val="0044227D"/>
    <w:rsid w:val="00442466"/>
    <w:rsid w:val="00450ABF"/>
    <w:rsid w:val="00452AE5"/>
    <w:rsid w:val="0045306B"/>
    <w:rsid w:val="00456AC0"/>
    <w:rsid w:val="0046174B"/>
    <w:rsid w:val="00463082"/>
    <w:rsid w:val="00473AC1"/>
    <w:rsid w:val="004754ED"/>
    <w:rsid w:val="0047792D"/>
    <w:rsid w:val="004832EE"/>
    <w:rsid w:val="00483B93"/>
    <w:rsid w:val="0048509F"/>
    <w:rsid w:val="004857EE"/>
    <w:rsid w:val="00485928"/>
    <w:rsid w:val="004912A3"/>
    <w:rsid w:val="00492F46"/>
    <w:rsid w:val="00493D75"/>
    <w:rsid w:val="004942A6"/>
    <w:rsid w:val="00496E51"/>
    <w:rsid w:val="004A4D13"/>
    <w:rsid w:val="004A501F"/>
    <w:rsid w:val="004A5FD6"/>
    <w:rsid w:val="004A6207"/>
    <w:rsid w:val="004A69A7"/>
    <w:rsid w:val="004B13CB"/>
    <w:rsid w:val="004B5B12"/>
    <w:rsid w:val="004C4683"/>
    <w:rsid w:val="004C52C9"/>
    <w:rsid w:val="004D0C09"/>
    <w:rsid w:val="004D2108"/>
    <w:rsid w:val="004D4798"/>
    <w:rsid w:val="004D64B7"/>
    <w:rsid w:val="004E7253"/>
    <w:rsid w:val="004E7D10"/>
    <w:rsid w:val="004F2B1B"/>
    <w:rsid w:val="004F5638"/>
    <w:rsid w:val="00501F90"/>
    <w:rsid w:val="00502F1E"/>
    <w:rsid w:val="0050408A"/>
    <w:rsid w:val="005049BE"/>
    <w:rsid w:val="00504AF6"/>
    <w:rsid w:val="00506F79"/>
    <w:rsid w:val="00506FA5"/>
    <w:rsid w:val="005109C5"/>
    <w:rsid w:val="005114B8"/>
    <w:rsid w:val="005163AB"/>
    <w:rsid w:val="00525263"/>
    <w:rsid w:val="00526D19"/>
    <w:rsid w:val="0052700D"/>
    <w:rsid w:val="00533755"/>
    <w:rsid w:val="00535520"/>
    <w:rsid w:val="00535CD9"/>
    <w:rsid w:val="00536593"/>
    <w:rsid w:val="00536C93"/>
    <w:rsid w:val="00541A73"/>
    <w:rsid w:val="00543332"/>
    <w:rsid w:val="005435D2"/>
    <w:rsid w:val="00546127"/>
    <w:rsid w:val="0055785B"/>
    <w:rsid w:val="005624EA"/>
    <w:rsid w:val="00565664"/>
    <w:rsid w:val="005678B4"/>
    <w:rsid w:val="00567BC2"/>
    <w:rsid w:val="005702D2"/>
    <w:rsid w:val="00570E26"/>
    <w:rsid w:val="00571024"/>
    <w:rsid w:val="005732B6"/>
    <w:rsid w:val="00576F8D"/>
    <w:rsid w:val="005803CA"/>
    <w:rsid w:val="0059379B"/>
    <w:rsid w:val="00593CE3"/>
    <w:rsid w:val="005A30F2"/>
    <w:rsid w:val="005A359B"/>
    <w:rsid w:val="005A3839"/>
    <w:rsid w:val="005A3B71"/>
    <w:rsid w:val="005A5B1D"/>
    <w:rsid w:val="005B182C"/>
    <w:rsid w:val="005B2302"/>
    <w:rsid w:val="005B2D91"/>
    <w:rsid w:val="005B3334"/>
    <w:rsid w:val="005C127B"/>
    <w:rsid w:val="005C608B"/>
    <w:rsid w:val="005C7777"/>
    <w:rsid w:val="005E24F0"/>
    <w:rsid w:val="005E349E"/>
    <w:rsid w:val="005F158E"/>
    <w:rsid w:val="005F1834"/>
    <w:rsid w:val="005F24BF"/>
    <w:rsid w:val="005F3557"/>
    <w:rsid w:val="005F4944"/>
    <w:rsid w:val="005F6B8B"/>
    <w:rsid w:val="005F6C7A"/>
    <w:rsid w:val="005F7D3A"/>
    <w:rsid w:val="00601636"/>
    <w:rsid w:val="00603742"/>
    <w:rsid w:val="00610FEA"/>
    <w:rsid w:val="00613FA0"/>
    <w:rsid w:val="00617DB8"/>
    <w:rsid w:val="0062279C"/>
    <w:rsid w:val="00622E9B"/>
    <w:rsid w:val="006248A5"/>
    <w:rsid w:val="00635DEA"/>
    <w:rsid w:val="00640004"/>
    <w:rsid w:val="006404E9"/>
    <w:rsid w:val="00643F6E"/>
    <w:rsid w:val="006444E6"/>
    <w:rsid w:val="0064667D"/>
    <w:rsid w:val="00650960"/>
    <w:rsid w:val="00652376"/>
    <w:rsid w:val="006525C2"/>
    <w:rsid w:val="00653CC4"/>
    <w:rsid w:val="006546A8"/>
    <w:rsid w:val="00654BCB"/>
    <w:rsid w:val="006577DD"/>
    <w:rsid w:val="006612E0"/>
    <w:rsid w:val="0066293E"/>
    <w:rsid w:val="00665088"/>
    <w:rsid w:val="006676F8"/>
    <w:rsid w:val="00672AD8"/>
    <w:rsid w:val="00675DD9"/>
    <w:rsid w:val="0068196A"/>
    <w:rsid w:val="00683155"/>
    <w:rsid w:val="00683485"/>
    <w:rsid w:val="00684A2F"/>
    <w:rsid w:val="00686A96"/>
    <w:rsid w:val="006874AC"/>
    <w:rsid w:val="0069243F"/>
    <w:rsid w:val="006928D8"/>
    <w:rsid w:val="00693E6A"/>
    <w:rsid w:val="006A26AF"/>
    <w:rsid w:val="006A3464"/>
    <w:rsid w:val="006A6643"/>
    <w:rsid w:val="006B69F8"/>
    <w:rsid w:val="006C0B3A"/>
    <w:rsid w:val="006C4EB1"/>
    <w:rsid w:val="006C69DA"/>
    <w:rsid w:val="006D02A5"/>
    <w:rsid w:val="006D504B"/>
    <w:rsid w:val="006E00ED"/>
    <w:rsid w:val="006E0469"/>
    <w:rsid w:val="006E2689"/>
    <w:rsid w:val="006F0782"/>
    <w:rsid w:val="006F237D"/>
    <w:rsid w:val="006F3F9B"/>
    <w:rsid w:val="006F55B9"/>
    <w:rsid w:val="00703B60"/>
    <w:rsid w:val="00705BA4"/>
    <w:rsid w:val="007069CD"/>
    <w:rsid w:val="00711764"/>
    <w:rsid w:val="007207CD"/>
    <w:rsid w:val="00721ADE"/>
    <w:rsid w:val="00721BEF"/>
    <w:rsid w:val="007229DA"/>
    <w:rsid w:val="007233EE"/>
    <w:rsid w:val="00727C1E"/>
    <w:rsid w:val="00730285"/>
    <w:rsid w:val="00730322"/>
    <w:rsid w:val="00730AD8"/>
    <w:rsid w:val="007321D2"/>
    <w:rsid w:val="007331B8"/>
    <w:rsid w:val="007371FF"/>
    <w:rsid w:val="00737A6A"/>
    <w:rsid w:val="00740D9F"/>
    <w:rsid w:val="00743ACD"/>
    <w:rsid w:val="00745FC1"/>
    <w:rsid w:val="007468AC"/>
    <w:rsid w:val="007471C1"/>
    <w:rsid w:val="00750D83"/>
    <w:rsid w:val="0075277A"/>
    <w:rsid w:val="007564CC"/>
    <w:rsid w:val="007614C0"/>
    <w:rsid w:val="007647C6"/>
    <w:rsid w:val="007726CB"/>
    <w:rsid w:val="00774C9C"/>
    <w:rsid w:val="00774EFA"/>
    <w:rsid w:val="0078080E"/>
    <w:rsid w:val="00780D50"/>
    <w:rsid w:val="007853EA"/>
    <w:rsid w:val="007869FA"/>
    <w:rsid w:val="00787A35"/>
    <w:rsid w:val="007915C6"/>
    <w:rsid w:val="00793CEE"/>
    <w:rsid w:val="00796EEE"/>
    <w:rsid w:val="007A17B1"/>
    <w:rsid w:val="007A7253"/>
    <w:rsid w:val="007B1892"/>
    <w:rsid w:val="007B4C5E"/>
    <w:rsid w:val="007B78B9"/>
    <w:rsid w:val="007C07F6"/>
    <w:rsid w:val="007C1DF9"/>
    <w:rsid w:val="007C588D"/>
    <w:rsid w:val="007D0DED"/>
    <w:rsid w:val="007D4D42"/>
    <w:rsid w:val="007E02A6"/>
    <w:rsid w:val="007E4557"/>
    <w:rsid w:val="007F13FF"/>
    <w:rsid w:val="007F1A51"/>
    <w:rsid w:val="007F1C9A"/>
    <w:rsid w:val="007F1FA9"/>
    <w:rsid w:val="007F79DF"/>
    <w:rsid w:val="007F7E3C"/>
    <w:rsid w:val="0080011D"/>
    <w:rsid w:val="00801441"/>
    <w:rsid w:val="00805B4B"/>
    <w:rsid w:val="0081126A"/>
    <w:rsid w:val="0082003D"/>
    <w:rsid w:val="00831456"/>
    <w:rsid w:val="0083351D"/>
    <w:rsid w:val="008353FF"/>
    <w:rsid w:val="008369B8"/>
    <w:rsid w:val="00837C09"/>
    <w:rsid w:val="00842975"/>
    <w:rsid w:val="0084367B"/>
    <w:rsid w:val="00843E83"/>
    <w:rsid w:val="00845083"/>
    <w:rsid w:val="00846E9F"/>
    <w:rsid w:val="008534D0"/>
    <w:rsid w:val="008534FC"/>
    <w:rsid w:val="00854361"/>
    <w:rsid w:val="00854C08"/>
    <w:rsid w:val="00860F44"/>
    <w:rsid w:val="008663B7"/>
    <w:rsid w:val="00873CBB"/>
    <w:rsid w:val="008754AD"/>
    <w:rsid w:val="008759DB"/>
    <w:rsid w:val="0087625C"/>
    <w:rsid w:val="00876A8C"/>
    <w:rsid w:val="008802F7"/>
    <w:rsid w:val="00880964"/>
    <w:rsid w:val="008825BC"/>
    <w:rsid w:val="00884D2F"/>
    <w:rsid w:val="00887A40"/>
    <w:rsid w:val="0089178B"/>
    <w:rsid w:val="008964AE"/>
    <w:rsid w:val="00897F8B"/>
    <w:rsid w:val="00897FFC"/>
    <w:rsid w:val="008A0554"/>
    <w:rsid w:val="008A1FAC"/>
    <w:rsid w:val="008A293D"/>
    <w:rsid w:val="008A53C1"/>
    <w:rsid w:val="008A5628"/>
    <w:rsid w:val="008B2680"/>
    <w:rsid w:val="008B2FC3"/>
    <w:rsid w:val="008B366E"/>
    <w:rsid w:val="008B5694"/>
    <w:rsid w:val="008B569E"/>
    <w:rsid w:val="008C1985"/>
    <w:rsid w:val="008C2842"/>
    <w:rsid w:val="008C5AD7"/>
    <w:rsid w:val="008C7A28"/>
    <w:rsid w:val="008D0643"/>
    <w:rsid w:val="008D2E8F"/>
    <w:rsid w:val="008D35E5"/>
    <w:rsid w:val="008D5347"/>
    <w:rsid w:val="008E1202"/>
    <w:rsid w:val="008E6734"/>
    <w:rsid w:val="008E6CDC"/>
    <w:rsid w:val="008E75EB"/>
    <w:rsid w:val="008F5FEF"/>
    <w:rsid w:val="00902C30"/>
    <w:rsid w:val="00905423"/>
    <w:rsid w:val="00915BC4"/>
    <w:rsid w:val="00920101"/>
    <w:rsid w:val="009227C0"/>
    <w:rsid w:val="0092767F"/>
    <w:rsid w:val="00931338"/>
    <w:rsid w:val="00932055"/>
    <w:rsid w:val="00933CAD"/>
    <w:rsid w:val="009353B1"/>
    <w:rsid w:val="0094260D"/>
    <w:rsid w:val="009431ED"/>
    <w:rsid w:val="00950A18"/>
    <w:rsid w:val="00952862"/>
    <w:rsid w:val="00957442"/>
    <w:rsid w:val="00962B06"/>
    <w:rsid w:val="0096438B"/>
    <w:rsid w:val="00965050"/>
    <w:rsid w:val="00966B96"/>
    <w:rsid w:val="0097047E"/>
    <w:rsid w:val="0097235E"/>
    <w:rsid w:val="00973249"/>
    <w:rsid w:val="009741C2"/>
    <w:rsid w:val="00983527"/>
    <w:rsid w:val="00984921"/>
    <w:rsid w:val="0098607C"/>
    <w:rsid w:val="00987007"/>
    <w:rsid w:val="009917E7"/>
    <w:rsid w:val="00991E9F"/>
    <w:rsid w:val="00993390"/>
    <w:rsid w:val="00993858"/>
    <w:rsid w:val="009949CD"/>
    <w:rsid w:val="009A0DBF"/>
    <w:rsid w:val="009A5410"/>
    <w:rsid w:val="009B0B8D"/>
    <w:rsid w:val="009B792E"/>
    <w:rsid w:val="009C0796"/>
    <w:rsid w:val="009C1A47"/>
    <w:rsid w:val="009C3E14"/>
    <w:rsid w:val="009C5A92"/>
    <w:rsid w:val="009C6529"/>
    <w:rsid w:val="009D094B"/>
    <w:rsid w:val="009D26A4"/>
    <w:rsid w:val="009D3462"/>
    <w:rsid w:val="009D3897"/>
    <w:rsid w:val="009E0240"/>
    <w:rsid w:val="009E1234"/>
    <w:rsid w:val="009E25CC"/>
    <w:rsid w:val="009F00D8"/>
    <w:rsid w:val="009F128B"/>
    <w:rsid w:val="009F41EE"/>
    <w:rsid w:val="009F539D"/>
    <w:rsid w:val="00A01ED1"/>
    <w:rsid w:val="00A07351"/>
    <w:rsid w:val="00A07991"/>
    <w:rsid w:val="00A11D84"/>
    <w:rsid w:val="00A17D04"/>
    <w:rsid w:val="00A17FCC"/>
    <w:rsid w:val="00A20B1D"/>
    <w:rsid w:val="00A23761"/>
    <w:rsid w:val="00A307D3"/>
    <w:rsid w:val="00A31C5B"/>
    <w:rsid w:val="00A44473"/>
    <w:rsid w:val="00A57BBF"/>
    <w:rsid w:val="00A60D5E"/>
    <w:rsid w:val="00A61EA0"/>
    <w:rsid w:val="00A639D9"/>
    <w:rsid w:val="00A67D95"/>
    <w:rsid w:val="00A72F6F"/>
    <w:rsid w:val="00A8278A"/>
    <w:rsid w:val="00A90C25"/>
    <w:rsid w:val="00A90C7C"/>
    <w:rsid w:val="00A94D7C"/>
    <w:rsid w:val="00A96F65"/>
    <w:rsid w:val="00A97E79"/>
    <w:rsid w:val="00A97F76"/>
    <w:rsid w:val="00AA1CF2"/>
    <w:rsid w:val="00AA676A"/>
    <w:rsid w:val="00AA6E86"/>
    <w:rsid w:val="00AB0BA4"/>
    <w:rsid w:val="00AB181D"/>
    <w:rsid w:val="00AB3165"/>
    <w:rsid w:val="00AB37BD"/>
    <w:rsid w:val="00AB4C9F"/>
    <w:rsid w:val="00AC0EE1"/>
    <w:rsid w:val="00AC29B0"/>
    <w:rsid w:val="00AC6EA6"/>
    <w:rsid w:val="00AD0E8D"/>
    <w:rsid w:val="00AD323D"/>
    <w:rsid w:val="00AD3500"/>
    <w:rsid w:val="00AD3D48"/>
    <w:rsid w:val="00AD4D27"/>
    <w:rsid w:val="00AD5D55"/>
    <w:rsid w:val="00AD787E"/>
    <w:rsid w:val="00AE1028"/>
    <w:rsid w:val="00AE340C"/>
    <w:rsid w:val="00AE6D81"/>
    <w:rsid w:val="00AF1E02"/>
    <w:rsid w:val="00B0167D"/>
    <w:rsid w:val="00B040CD"/>
    <w:rsid w:val="00B0531F"/>
    <w:rsid w:val="00B05C63"/>
    <w:rsid w:val="00B065D4"/>
    <w:rsid w:val="00B12990"/>
    <w:rsid w:val="00B176BE"/>
    <w:rsid w:val="00B25439"/>
    <w:rsid w:val="00B256BB"/>
    <w:rsid w:val="00B25C74"/>
    <w:rsid w:val="00B265A3"/>
    <w:rsid w:val="00B35EE7"/>
    <w:rsid w:val="00B37472"/>
    <w:rsid w:val="00B41CA8"/>
    <w:rsid w:val="00B450FB"/>
    <w:rsid w:val="00B47E65"/>
    <w:rsid w:val="00B52308"/>
    <w:rsid w:val="00B52C0B"/>
    <w:rsid w:val="00B53B14"/>
    <w:rsid w:val="00B56EC1"/>
    <w:rsid w:val="00B57D2F"/>
    <w:rsid w:val="00B60A71"/>
    <w:rsid w:val="00B62E9A"/>
    <w:rsid w:val="00B6306C"/>
    <w:rsid w:val="00B71C81"/>
    <w:rsid w:val="00B76F1D"/>
    <w:rsid w:val="00B850F5"/>
    <w:rsid w:val="00B8637B"/>
    <w:rsid w:val="00B951F8"/>
    <w:rsid w:val="00BA1E4E"/>
    <w:rsid w:val="00BA6F1F"/>
    <w:rsid w:val="00BB0A41"/>
    <w:rsid w:val="00BC15DF"/>
    <w:rsid w:val="00BC1870"/>
    <w:rsid w:val="00BC2600"/>
    <w:rsid w:val="00BC50AF"/>
    <w:rsid w:val="00BC7BFD"/>
    <w:rsid w:val="00BD08B1"/>
    <w:rsid w:val="00BD2957"/>
    <w:rsid w:val="00BD36B4"/>
    <w:rsid w:val="00BD51C7"/>
    <w:rsid w:val="00BD5842"/>
    <w:rsid w:val="00BD5DE9"/>
    <w:rsid w:val="00BD6397"/>
    <w:rsid w:val="00BD734B"/>
    <w:rsid w:val="00BE2359"/>
    <w:rsid w:val="00BE6D4E"/>
    <w:rsid w:val="00BF5491"/>
    <w:rsid w:val="00BF5825"/>
    <w:rsid w:val="00BF6B2B"/>
    <w:rsid w:val="00BF7329"/>
    <w:rsid w:val="00C00017"/>
    <w:rsid w:val="00C01331"/>
    <w:rsid w:val="00C01A73"/>
    <w:rsid w:val="00C038E4"/>
    <w:rsid w:val="00C05F3F"/>
    <w:rsid w:val="00C10D8B"/>
    <w:rsid w:val="00C10D99"/>
    <w:rsid w:val="00C110A6"/>
    <w:rsid w:val="00C14911"/>
    <w:rsid w:val="00C17952"/>
    <w:rsid w:val="00C22BC9"/>
    <w:rsid w:val="00C266B5"/>
    <w:rsid w:val="00C3269F"/>
    <w:rsid w:val="00C33E76"/>
    <w:rsid w:val="00C34779"/>
    <w:rsid w:val="00C35661"/>
    <w:rsid w:val="00C3656F"/>
    <w:rsid w:val="00C377E0"/>
    <w:rsid w:val="00C41DA2"/>
    <w:rsid w:val="00C43A35"/>
    <w:rsid w:val="00C4464B"/>
    <w:rsid w:val="00C44D50"/>
    <w:rsid w:val="00C45601"/>
    <w:rsid w:val="00C4606F"/>
    <w:rsid w:val="00C512E1"/>
    <w:rsid w:val="00C5554E"/>
    <w:rsid w:val="00C62732"/>
    <w:rsid w:val="00C63A96"/>
    <w:rsid w:val="00C67626"/>
    <w:rsid w:val="00C75E53"/>
    <w:rsid w:val="00C80A80"/>
    <w:rsid w:val="00C80BAE"/>
    <w:rsid w:val="00C82159"/>
    <w:rsid w:val="00C8295C"/>
    <w:rsid w:val="00C87C53"/>
    <w:rsid w:val="00C9292B"/>
    <w:rsid w:val="00CA05CD"/>
    <w:rsid w:val="00CA1637"/>
    <w:rsid w:val="00CA476D"/>
    <w:rsid w:val="00CB2A86"/>
    <w:rsid w:val="00CB450A"/>
    <w:rsid w:val="00CB48FB"/>
    <w:rsid w:val="00CB537B"/>
    <w:rsid w:val="00CC5B0C"/>
    <w:rsid w:val="00CC5D49"/>
    <w:rsid w:val="00CC60DD"/>
    <w:rsid w:val="00CC6783"/>
    <w:rsid w:val="00CC6793"/>
    <w:rsid w:val="00CC68DE"/>
    <w:rsid w:val="00CC7905"/>
    <w:rsid w:val="00CD0026"/>
    <w:rsid w:val="00CD2110"/>
    <w:rsid w:val="00CE13B2"/>
    <w:rsid w:val="00CE3E26"/>
    <w:rsid w:val="00CE408B"/>
    <w:rsid w:val="00CF2E4D"/>
    <w:rsid w:val="00CF3A56"/>
    <w:rsid w:val="00D006DB"/>
    <w:rsid w:val="00D02F4C"/>
    <w:rsid w:val="00D03046"/>
    <w:rsid w:val="00D06CD1"/>
    <w:rsid w:val="00D108F8"/>
    <w:rsid w:val="00D10CBC"/>
    <w:rsid w:val="00D10EC4"/>
    <w:rsid w:val="00D12AF1"/>
    <w:rsid w:val="00D16278"/>
    <w:rsid w:val="00D22699"/>
    <w:rsid w:val="00D22C7B"/>
    <w:rsid w:val="00D26ED4"/>
    <w:rsid w:val="00D2781F"/>
    <w:rsid w:val="00D27C23"/>
    <w:rsid w:val="00D34E8E"/>
    <w:rsid w:val="00D4674D"/>
    <w:rsid w:val="00D46938"/>
    <w:rsid w:val="00D541E0"/>
    <w:rsid w:val="00D56FB3"/>
    <w:rsid w:val="00D63272"/>
    <w:rsid w:val="00D65284"/>
    <w:rsid w:val="00D71459"/>
    <w:rsid w:val="00D736A2"/>
    <w:rsid w:val="00D746A6"/>
    <w:rsid w:val="00D82024"/>
    <w:rsid w:val="00D84A37"/>
    <w:rsid w:val="00D862CB"/>
    <w:rsid w:val="00D94AB4"/>
    <w:rsid w:val="00D96061"/>
    <w:rsid w:val="00DA03AA"/>
    <w:rsid w:val="00DA3963"/>
    <w:rsid w:val="00DB027D"/>
    <w:rsid w:val="00DB0F78"/>
    <w:rsid w:val="00DB1B3B"/>
    <w:rsid w:val="00DB2F9B"/>
    <w:rsid w:val="00DB414C"/>
    <w:rsid w:val="00DC7DC2"/>
    <w:rsid w:val="00DD07A7"/>
    <w:rsid w:val="00DD361A"/>
    <w:rsid w:val="00DD3A38"/>
    <w:rsid w:val="00DD4C31"/>
    <w:rsid w:val="00DD7238"/>
    <w:rsid w:val="00DE0490"/>
    <w:rsid w:val="00DE13DE"/>
    <w:rsid w:val="00DE5CEB"/>
    <w:rsid w:val="00DF058F"/>
    <w:rsid w:val="00DF2045"/>
    <w:rsid w:val="00DF3EDF"/>
    <w:rsid w:val="00DF7032"/>
    <w:rsid w:val="00E009B9"/>
    <w:rsid w:val="00E026BD"/>
    <w:rsid w:val="00E0303F"/>
    <w:rsid w:val="00E13F34"/>
    <w:rsid w:val="00E21065"/>
    <w:rsid w:val="00E21FA8"/>
    <w:rsid w:val="00E25201"/>
    <w:rsid w:val="00E25458"/>
    <w:rsid w:val="00E27A0D"/>
    <w:rsid w:val="00E30F9F"/>
    <w:rsid w:val="00E31E73"/>
    <w:rsid w:val="00E348FF"/>
    <w:rsid w:val="00E41B2C"/>
    <w:rsid w:val="00E43C96"/>
    <w:rsid w:val="00E44523"/>
    <w:rsid w:val="00E45A8E"/>
    <w:rsid w:val="00E541E6"/>
    <w:rsid w:val="00E55100"/>
    <w:rsid w:val="00E60B1D"/>
    <w:rsid w:val="00E61F1B"/>
    <w:rsid w:val="00E72A41"/>
    <w:rsid w:val="00E76F98"/>
    <w:rsid w:val="00E81215"/>
    <w:rsid w:val="00E81CB8"/>
    <w:rsid w:val="00E8272D"/>
    <w:rsid w:val="00E8431E"/>
    <w:rsid w:val="00E84A45"/>
    <w:rsid w:val="00E851EC"/>
    <w:rsid w:val="00E867DB"/>
    <w:rsid w:val="00E87642"/>
    <w:rsid w:val="00E912EA"/>
    <w:rsid w:val="00E922A1"/>
    <w:rsid w:val="00E922A9"/>
    <w:rsid w:val="00EA1310"/>
    <w:rsid w:val="00EA1616"/>
    <w:rsid w:val="00EA60AD"/>
    <w:rsid w:val="00EA6C41"/>
    <w:rsid w:val="00EB08A2"/>
    <w:rsid w:val="00EB1A48"/>
    <w:rsid w:val="00EB37C8"/>
    <w:rsid w:val="00EB7E8B"/>
    <w:rsid w:val="00EC1669"/>
    <w:rsid w:val="00EC2494"/>
    <w:rsid w:val="00ED1B5C"/>
    <w:rsid w:val="00ED4A4F"/>
    <w:rsid w:val="00ED6BAE"/>
    <w:rsid w:val="00EE6427"/>
    <w:rsid w:val="00EF400F"/>
    <w:rsid w:val="00F0392C"/>
    <w:rsid w:val="00F05650"/>
    <w:rsid w:val="00F21759"/>
    <w:rsid w:val="00F24033"/>
    <w:rsid w:val="00F27AEB"/>
    <w:rsid w:val="00F3137C"/>
    <w:rsid w:val="00F3334E"/>
    <w:rsid w:val="00F33B4A"/>
    <w:rsid w:val="00F34FF3"/>
    <w:rsid w:val="00F35AC6"/>
    <w:rsid w:val="00F361FF"/>
    <w:rsid w:val="00F4017B"/>
    <w:rsid w:val="00F45E73"/>
    <w:rsid w:val="00F467BF"/>
    <w:rsid w:val="00F47BFE"/>
    <w:rsid w:val="00F50126"/>
    <w:rsid w:val="00F50286"/>
    <w:rsid w:val="00F514DA"/>
    <w:rsid w:val="00F546BE"/>
    <w:rsid w:val="00F573EA"/>
    <w:rsid w:val="00F668E4"/>
    <w:rsid w:val="00F70009"/>
    <w:rsid w:val="00F70050"/>
    <w:rsid w:val="00F71D4A"/>
    <w:rsid w:val="00F75139"/>
    <w:rsid w:val="00F752FF"/>
    <w:rsid w:val="00F76FC6"/>
    <w:rsid w:val="00F801D2"/>
    <w:rsid w:val="00F81467"/>
    <w:rsid w:val="00F905C6"/>
    <w:rsid w:val="00F907C3"/>
    <w:rsid w:val="00F92B57"/>
    <w:rsid w:val="00F96A4F"/>
    <w:rsid w:val="00F96F3E"/>
    <w:rsid w:val="00F97814"/>
    <w:rsid w:val="00FA4E58"/>
    <w:rsid w:val="00FA6026"/>
    <w:rsid w:val="00FA6A48"/>
    <w:rsid w:val="00FA6CBE"/>
    <w:rsid w:val="00FB5205"/>
    <w:rsid w:val="00FB72B2"/>
    <w:rsid w:val="00FC3AF1"/>
    <w:rsid w:val="00FC76C8"/>
    <w:rsid w:val="00FD20A5"/>
    <w:rsid w:val="00FD31DF"/>
    <w:rsid w:val="00FD67F3"/>
    <w:rsid w:val="00FE01E6"/>
    <w:rsid w:val="00FE347A"/>
    <w:rsid w:val="00FE427B"/>
    <w:rsid w:val="00FE4F43"/>
    <w:rsid w:val="00FE5264"/>
    <w:rsid w:val="00FE752E"/>
    <w:rsid w:val="00FF2259"/>
    <w:rsid w:val="08EB2411"/>
    <w:rsid w:val="0C2C7C08"/>
    <w:rsid w:val="16B17A67"/>
    <w:rsid w:val="299802D6"/>
    <w:rsid w:val="2AC66B3E"/>
    <w:rsid w:val="2B8A3B5C"/>
    <w:rsid w:val="33292500"/>
    <w:rsid w:val="3C7E682F"/>
    <w:rsid w:val="546239EA"/>
    <w:rsid w:val="56360FFF"/>
    <w:rsid w:val="5A8E51C4"/>
    <w:rsid w:val="5EF330EE"/>
    <w:rsid w:val="5F7F6C0C"/>
    <w:rsid w:val="62E3105D"/>
    <w:rsid w:val="63CF23FA"/>
    <w:rsid w:val="6788395D"/>
    <w:rsid w:val="68745FA7"/>
    <w:rsid w:val="6A310F89"/>
    <w:rsid w:val="6D5D28C3"/>
    <w:rsid w:val="74FA2165"/>
    <w:rsid w:val="772B56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57"/>
      <w:jc w:val="both"/>
    </w:pPr>
    <w:rPr>
      <w:rFonts w:ascii="Times New Roman" w:hAnsi="Times New Roman" w:eastAsia="Times New Roman" w:cs="Times New Roman"/>
      <w:lang w:val="id-ID" w:eastAsia="en-US" w:bidi="ar-SA"/>
    </w:rPr>
  </w:style>
  <w:style w:type="paragraph" w:styleId="2">
    <w:name w:val="heading 1"/>
    <w:basedOn w:val="1"/>
    <w:next w:val="1"/>
    <w:link w:val="24"/>
    <w:qFormat/>
    <w:uiPriority w:val="9"/>
    <w:pPr>
      <w:keepNext/>
      <w:numPr>
        <w:ilvl w:val="0"/>
        <w:numId w:val="1"/>
      </w:numPr>
      <w:spacing w:before="180" w:after="60"/>
      <w:jc w:val="center"/>
      <w:outlineLvl w:val="0"/>
    </w:pPr>
    <w:rPr>
      <w:b/>
      <w:bCs/>
      <w:smallCaps/>
      <w:kern w:val="32"/>
      <w:lang w:eastAsia="zh-CN"/>
    </w:rPr>
  </w:style>
  <w:style w:type="paragraph" w:styleId="3">
    <w:name w:val="heading 2"/>
    <w:basedOn w:val="1"/>
    <w:next w:val="1"/>
    <w:link w:val="43"/>
    <w:unhideWhenUsed/>
    <w:qFormat/>
    <w:uiPriority w:val="9"/>
    <w:pPr>
      <w:keepNext/>
      <w:keepLines/>
      <w:numPr>
        <w:ilvl w:val="0"/>
        <w:numId w:val="2"/>
      </w:numPr>
      <w:spacing w:before="150" w:after="60"/>
      <w:jc w:val="left"/>
      <w:outlineLvl w:val="1"/>
    </w:pPr>
    <w:rPr>
      <w:b/>
      <w:bCs/>
      <w:color w:val="000000"/>
      <w:lang w:eastAsia="zh-CN"/>
    </w:rPr>
  </w:style>
  <w:style w:type="paragraph" w:styleId="4">
    <w:name w:val="heading 3"/>
    <w:basedOn w:val="1"/>
    <w:next w:val="1"/>
    <w:link w:val="49"/>
    <w:unhideWhenUsed/>
    <w:qFormat/>
    <w:uiPriority w:val="9"/>
    <w:pPr>
      <w:keepNext/>
      <w:numPr>
        <w:ilvl w:val="0"/>
        <w:numId w:val="3"/>
      </w:numPr>
      <w:spacing w:before="120" w:after="60"/>
      <w:outlineLvl w:val="2"/>
    </w:pPr>
    <w:rPr>
      <w:bCs/>
      <w:i/>
      <w:lang w:eastAsia="zh-CN"/>
    </w:rPr>
  </w:style>
  <w:style w:type="paragraph" w:styleId="5">
    <w:name w:val="heading 4"/>
    <w:basedOn w:val="6"/>
    <w:next w:val="1"/>
    <w:link w:val="51"/>
    <w:unhideWhenUsed/>
    <w:qFormat/>
    <w:uiPriority w:val="9"/>
    <w:pPr>
      <w:numPr>
        <w:ilvl w:val="0"/>
        <w:numId w:val="4"/>
      </w:numPr>
      <w:spacing w:before="120" w:after="60"/>
      <w:ind w:left="714" w:hanging="357"/>
      <w:outlineLvl w:val="3"/>
    </w:pPr>
    <w:rPr>
      <w:i/>
      <w:lang w:eastAsia="zh-CN"/>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List Paragraph"/>
    <w:basedOn w:val="1"/>
    <w:qFormat/>
    <w:uiPriority w:val="34"/>
    <w:pPr>
      <w:ind w:firstLine="0"/>
      <w:contextualSpacing/>
    </w:pPr>
    <w:rPr>
      <w:rFonts w:eastAsia="Calibri"/>
      <w:lang w:val="en-AU"/>
    </w:rPr>
  </w:style>
  <w:style w:type="paragraph" w:styleId="9">
    <w:name w:val="Balloon Text"/>
    <w:basedOn w:val="1"/>
    <w:link w:val="42"/>
    <w:semiHidden/>
    <w:unhideWhenUsed/>
    <w:qFormat/>
    <w:uiPriority w:val="99"/>
    <w:rPr>
      <w:rFonts w:ascii="Tahoma" w:hAnsi="Tahoma"/>
      <w:sz w:val="16"/>
      <w:szCs w:val="16"/>
      <w:lang w:eastAsia="zh-CN"/>
    </w:rPr>
  </w:style>
  <w:style w:type="paragraph" w:styleId="10">
    <w:name w:val="Body Text Indent"/>
    <w:basedOn w:val="1"/>
    <w:link w:val="63"/>
    <w:qFormat/>
    <w:uiPriority w:val="0"/>
    <w:pPr>
      <w:spacing w:line="360" w:lineRule="auto"/>
      <w:ind w:left="720" w:firstLine="0"/>
    </w:pPr>
    <w:rPr>
      <w:sz w:val="24"/>
      <w:szCs w:val="24"/>
      <w:lang w:val="en-GB" w:eastAsia="zh-CN"/>
    </w:rPr>
  </w:style>
  <w:style w:type="character" w:styleId="11">
    <w:name w:val="annotation reference"/>
    <w:basedOn w:val="7"/>
    <w:semiHidden/>
    <w:unhideWhenUsed/>
    <w:qFormat/>
    <w:uiPriority w:val="99"/>
    <w:rPr>
      <w:sz w:val="16"/>
      <w:szCs w:val="16"/>
    </w:rPr>
  </w:style>
  <w:style w:type="paragraph" w:styleId="12">
    <w:name w:val="annotation text"/>
    <w:basedOn w:val="1"/>
    <w:link w:val="73"/>
    <w:semiHidden/>
    <w:unhideWhenUsed/>
    <w:qFormat/>
    <w:uiPriority w:val="99"/>
  </w:style>
  <w:style w:type="paragraph" w:styleId="13">
    <w:name w:val="annotation subject"/>
    <w:basedOn w:val="12"/>
    <w:next w:val="12"/>
    <w:link w:val="74"/>
    <w:semiHidden/>
    <w:unhideWhenUsed/>
    <w:uiPriority w:val="99"/>
    <w:rPr>
      <w:b/>
      <w:bCs/>
    </w:rPr>
  </w:style>
  <w:style w:type="character" w:styleId="14">
    <w:name w:val="Emphasis"/>
    <w:qFormat/>
    <w:uiPriority w:val="20"/>
    <w:rPr>
      <w:i/>
      <w:iCs/>
    </w:rPr>
  </w:style>
  <w:style w:type="character" w:styleId="15">
    <w:name w:val="FollowedHyperlink"/>
    <w:basedOn w:val="7"/>
    <w:semiHidden/>
    <w:unhideWhenUsed/>
    <w:qFormat/>
    <w:uiPriority w:val="99"/>
    <w:rPr>
      <w:color w:val="800080" w:themeColor="followedHyperlink"/>
      <w:u w:val="single"/>
      <w14:textFill>
        <w14:solidFill>
          <w14:schemeClr w14:val="folHlink"/>
        </w14:solidFill>
      </w14:textFill>
    </w:rPr>
  </w:style>
  <w:style w:type="paragraph" w:styleId="16">
    <w:name w:val="footer"/>
    <w:basedOn w:val="1"/>
    <w:link w:val="36"/>
    <w:unhideWhenUsed/>
    <w:qFormat/>
    <w:uiPriority w:val="99"/>
    <w:pPr>
      <w:tabs>
        <w:tab w:val="center" w:pos="4680"/>
        <w:tab w:val="right" w:pos="9360"/>
      </w:tabs>
    </w:pPr>
    <w:rPr>
      <w:lang w:eastAsia="zh-CN"/>
    </w:rPr>
  </w:style>
  <w:style w:type="character" w:styleId="17">
    <w:name w:val="footnote reference"/>
    <w:semiHidden/>
    <w:unhideWhenUsed/>
    <w:qFormat/>
    <w:uiPriority w:val="99"/>
    <w:rPr>
      <w:vertAlign w:val="superscript"/>
    </w:rPr>
  </w:style>
  <w:style w:type="paragraph" w:styleId="18">
    <w:name w:val="footnote text"/>
    <w:basedOn w:val="1"/>
    <w:link w:val="62"/>
    <w:semiHidden/>
    <w:unhideWhenUsed/>
    <w:qFormat/>
    <w:uiPriority w:val="99"/>
    <w:rPr>
      <w:lang w:eastAsia="zh-CN"/>
    </w:rPr>
  </w:style>
  <w:style w:type="paragraph" w:styleId="19">
    <w:name w:val="header"/>
    <w:basedOn w:val="1"/>
    <w:link w:val="35"/>
    <w:unhideWhenUsed/>
    <w:uiPriority w:val="99"/>
    <w:pPr>
      <w:tabs>
        <w:tab w:val="center" w:pos="4680"/>
        <w:tab w:val="right" w:pos="9360"/>
      </w:tabs>
    </w:pPr>
    <w:rPr>
      <w:lang w:eastAsia="zh-CN"/>
    </w:rPr>
  </w:style>
  <w:style w:type="character" w:styleId="20">
    <w:name w:val="Hyperlink"/>
    <w:unhideWhenUsed/>
    <w:qFormat/>
    <w:uiPriority w:val="99"/>
    <w:rPr>
      <w:color w:val="0000FF"/>
      <w:u w:val="single"/>
    </w:rPr>
  </w:style>
  <w:style w:type="paragraph" w:styleId="21">
    <w:name w:val="Subtitle"/>
    <w:basedOn w:val="1"/>
    <w:next w:val="1"/>
    <w:link w:val="72"/>
    <w:qFormat/>
    <w:uiPriority w:val="11"/>
    <w:pPr>
      <w:ind w:firstLine="357"/>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22">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9"/>
    <w:qFormat/>
    <w:uiPriority w:val="10"/>
    <w:pPr>
      <w:spacing w:after="120"/>
      <w:ind w:firstLine="0"/>
      <w:jc w:val="center"/>
    </w:pPr>
    <w:rPr>
      <w:b/>
      <w:bCs/>
      <w:kern w:val="28"/>
      <w:sz w:val="36"/>
      <w:szCs w:val="36"/>
      <w:lang w:eastAsia="zh-CN"/>
    </w:rPr>
  </w:style>
  <w:style w:type="character" w:customStyle="1" w:styleId="24">
    <w:name w:val="Heading 1 Char"/>
    <w:link w:val="2"/>
    <w:uiPriority w:val="9"/>
    <w:rPr>
      <w:rFonts w:ascii="Times New Roman" w:hAnsi="Times New Roman" w:eastAsia="Times New Roman"/>
      <w:b/>
      <w:bCs/>
      <w:smallCaps/>
      <w:kern w:val="32"/>
      <w:lang w:val="id-ID" w:eastAsia="zh-CN"/>
    </w:rPr>
  </w:style>
  <w:style w:type="paragraph" w:customStyle="1" w:styleId="25">
    <w:name w:val="icsm_bodytext"/>
    <w:basedOn w:val="1"/>
    <w:uiPriority w:val="0"/>
    <w:pPr>
      <w:ind w:firstLine="240"/>
    </w:pPr>
  </w:style>
  <w:style w:type="paragraph" w:customStyle="1" w:styleId="26">
    <w:name w:val="icsm_heading1"/>
    <w:basedOn w:val="1"/>
    <w:qFormat/>
    <w:uiPriority w:val="0"/>
    <w:pPr>
      <w:numPr>
        <w:ilvl w:val="0"/>
        <w:numId w:val="5"/>
      </w:numPr>
      <w:spacing w:after="120"/>
      <w:ind w:left="357" w:hanging="357"/>
      <w:outlineLvl w:val="0"/>
    </w:pPr>
    <w:rPr>
      <w:b/>
    </w:rPr>
  </w:style>
  <w:style w:type="paragraph" w:customStyle="1" w:styleId="27">
    <w:name w:val="icsm_heading2"/>
    <w:basedOn w:val="1"/>
    <w:uiPriority w:val="0"/>
    <w:pPr>
      <w:numPr>
        <w:ilvl w:val="0"/>
        <w:numId w:val="6"/>
      </w:numPr>
      <w:spacing w:before="120" w:after="120"/>
      <w:ind w:left="357" w:hanging="357"/>
      <w:jc w:val="left"/>
    </w:pPr>
    <w:rPr>
      <w:b/>
    </w:rPr>
  </w:style>
  <w:style w:type="paragraph" w:customStyle="1" w:styleId="28">
    <w:name w:val="icsm_tabletext"/>
    <w:basedOn w:val="25"/>
    <w:uiPriority w:val="0"/>
    <w:pPr>
      <w:spacing w:before="40"/>
      <w:ind w:firstLine="0"/>
      <w:jc w:val="left"/>
    </w:pPr>
    <w:rPr>
      <w:sz w:val="16"/>
    </w:rPr>
  </w:style>
  <w:style w:type="paragraph" w:customStyle="1" w:styleId="29">
    <w:name w:val="icsm_figurecaption"/>
    <w:basedOn w:val="1"/>
    <w:uiPriority w:val="0"/>
    <w:pPr>
      <w:spacing w:before="200" w:after="240"/>
      <w:jc w:val="center"/>
    </w:pPr>
    <w:rPr>
      <w:sz w:val="16"/>
    </w:rPr>
  </w:style>
  <w:style w:type="paragraph" w:customStyle="1" w:styleId="30">
    <w:name w:val="icsm_addresses"/>
    <w:basedOn w:val="1"/>
    <w:link w:val="47"/>
    <w:qFormat/>
    <w:uiPriority w:val="0"/>
    <w:pPr>
      <w:spacing w:after="120"/>
      <w:jc w:val="center"/>
    </w:pPr>
    <w:rPr>
      <w:i/>
      <w:sz w:val="16"/>
      <w:lang w:eastAsia="zh-CN"/>
    </w:rPr>
  </w:style>
  <w:style w:type="paragraph" w:customStyle="1" w:styleId="31">
    <w:name w:val="icsm_keywords"/>
    <w:basedOn w:val="1"/>
    <w:uiPriority w:val="0"/>
    <w:rPr>
      <w:sz w:val="16"/>
    </w:rPr>
  </w:style>
  <w:style w:type="paragraph" w:customStyle="1" w:styleId="32">
    <w:name w:val="icsm_references"/>
    <w:basedOn w:val="1"/>
    <w:uiPriority w:val="0"/>
    <w:pPr>
      <w:ind w:left="240" w:hanging="240"/>
    </w:pPr>
    <w:rPr>
      <w:sz w:val="16"/>
    </w:rPr>
  </w:style>
  <w:style w:type="paragraph" w:customStyle="1" w:styleId="33">
    <w:name w:val="icsm_heading3"/>
    <w:basedOn w:val="1"/>
    <w:qFormat/>
    <w:uiPriority w:val="0"/>
    <w:pPr>
      <w:spacing w:before="240"/>
    </w:pPr>
    <w:rPr>
      <w:i/>
    </w:rPr>
  </w:style>
  <w:style w:type="paragraph" w:customStyle="1" w:styleId="34">
    <w:name w:val="op_2005"/>
    <w:basedOn w:val="1"/>
    <w:uiPriority w:val="0"/>
    <w:pPr>
      <w:tabs>
        <w:tab w:val="left" w:pos="2520"/>
      </w:tabs>
      <w:spacing w:after="200"/>
      <w:jc w:val="center"/>
    </w:pPr>
    <w:rPr>
      <w:sz w:val="16"/>
    </w:rPr>
  </w:style>
  <w:style w:type="character" w:customStyle="1" w:styleId="35">
    <w:name w:val="Header Char"/>
    <w:link w:val="19"/>
    <w:qFormat/>
    <w:uiPriority w:val="99"/>
    <w:rPr>
      <w:rFonts w:ascii="Times New Roman" w:hAnsi="Times New Roman" w:eastAsia="Times New Roman" w:cs="Times New Roman"/>
      <w:sz w:val="20"/>
      <w:szCs w:val="20"/>
      <w:lang w:val="id-ID"/>
    </w:rPr>
  </w:style>
  <w:style w:type="character" w:customStyle="1" w:styleId="36">
    <w:name w:val="Footer Char"/>
    <w:link w:val="16"/>
    <w:uiPriority w:val="99"/>
    <w:rPr>
      <w:rFonts w:ascii="Times New Roman" w:hAnsi="Times New Roman" w:eastAsia="Times New Roman" w:cs="Times New Roman"/>
      <w:sz w:val="20"/>
      <w:szCs w:val="20"/>
      <w:lang w:val="id-ID"/>
    </w:rPr>
  </w:style>
  <w:style w:type="character" w:customStyle="1" w:styleId="37">
    <w:name w:val="long_text"/>
    <w:qFormat/>
    <w:uiPriority w:val="0"/>
  </w:style>
  <w:style w:type="character" w:customStyle="1" w:styleId="38">
    <w:name w:val="hps"/>
    <w:uiPriority w:val="0"/>
  </w:style>
  <w:style w:type="character" w:customStyle="1" w:styleId="39">
    <w:name w:val="Title Char"/>
    <w:link w:val="23"/>
    <w:uiPriority w:val="10"/>
    <w:rPr>
      <w:rFonts w:ascii="Times New Roman" w:hAnsi="Times New Roman" w:eastAsia="Times New Roman"/>
      <w:b/>
      <w:bCs/>
      <w:kern w:val="28"/>
      <w:sz w:val="36"/>
      <w:szCs w:val="36"/>
      <w:lang w:val="id-ID"/>
    </w:rPr>
  </w:style>
  <w:style w:type="paragraph" w:customStyle="1" w:styleId="40">
    <w:name w:val="Text"/>
    <w:basedOn w:val="1"/>
    <w:link w:val="55"/>
    <w:qFormat/>
    <w:uiPriority w:val="0"/>
    <w:pPr>
      <w:widowControl w:val="0"/>
      <w:autoSpaceDE w:val="0"/>
      <w:autoSpaceDN w:val="0"/>
      <w:spacing w:line="252" w:lineRule="auto"/>
      <w:ind w:firstLine="202"/>
    </w:pPr>
    <w:rPr>
      <w:lang w:val="zh-CN" w:eastAsia="zh-CN"/>
    </w:rPr>
  </w:style>
  <w:style w:type="table" w:customStyle="1" w:styleId="41">
    <w:name w:val="Light List1"/>
    <w:basedOn w:val="8"/>
    <w:qFormat/>
    <w:uiPriority w:val="61"/>
    <w:rPr>
      <w:lang w:val="en-AU"/>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42">
    <w:name w:val="Balloon Text Char"/>
    <w:link w:val="9"/>
    <w:semiHidden/>
    <w:qFormat/>
    <w:uiPriority w:val="99"/>
    <w:rPr>
      <w:rFonts w:ascii="Tahoma" w:hAnsi="Tahoma" w:eastAsia="Times New Roman" w:cs="Tahoma"/>
      <w:sz w:val="16"/>
      <w:szCs w:val="16"/>
      <w:lang w:val="id-ID"/>
    </w:rPr>
  </w:style>
  <w:style w:type="character" w:customStyle="1" w:styleId="43">
    <w:name w:val="Heading 2 Char"/>
    <w:link w:val="3"/>
    <w:uiPriority w:val="9"/>
    <w:rPr>
      <w:rFonts w:ascii="Times New Roman" w:hAnsi="Times New Roman" w:eastAsia="Times New Roman"/>
      <w:b/>
      <w:bCs/>
      <w:color w:val="000000"/>
      <w:lang w:val="id-ID" w:eastAsia="zh-CN"/>
    </w:rPr>
  </w:style>
  <w:style w:type="paragraph" w:customStyle="1" w:styleId="44">
    <w:name w:val="Author Name"/>
    <w:basedOn w:val="1"/>
    <w:link w:val="46"/>
    <w:qFormat/>
    <w:uiPriority w:val="0"/>
    <w:pPr>
      <w:spacing w:after="120"/>
      <w:ind w:firstLine="0"/>
      <w:jc w:val="center"/>
    </w:pPr>
    <w:rPr>
      <w:b/>
      <w:sz w:val="26"/>
      <w:szCs w:val="26"/>
      <w:lang w:eastAsia="zh-CN"/>
    </w:rPr>
  </w:style>
  <w:style w:type="paragraph" w:customStyle="1" w:styleId="45">
    <w:name w:val="Author Afiliation"/>
    <w:basedOn w:val="30"/>
    <w:link w:val="48"/>
    <w:qFormat/>
    <w:uiPriority w:val="0"/>
    <w:pPr>
      <w:spacing w:after="0"/>
      <w:ind w:firstLine="0"/>
    </w:pPr>
  </w:style>
  <w:style w:type="character" w:customStyle="1" w:styleId="46">
    <w:name w:val="Author Name Char"/>
    <w:link w:val="44"/>
    <w:qFormat/>
    <w:uiPriority w:val="0"/>
    <w:rPr>
      <w:rFonts w:ascii="Times New Roman" w:hAnsi="Times New Roman" w:eastAsia="Times New Roman"/>
      <w:b/>
      <w:sz w:val="26"/>
      <w:szCs w:val="26"/>
      <w:lang w:val="id-ID"/>
    </w:rPr>
  </w:style>
  <w:style w:type="character" w:customStyle="1" w:styleId="47">
    <w:name w:val="icsm_addresses Char"/>
    <w:link w:val="30"/>
    <w:qFormat/>
    <w:uiPriority w:val="0"/>
    <w:rPr>
      <w:rFonts w:ascii="Times New Roman" w:hAnsi="Times New Roman" w:eastAsia="Times New Roman"/>
      <w:i/>
      <w:sz w:val="16"/>
      <w:lang w:val="id-ID"/>
    </w:rPr>
  </w:style>
  <w:style w:type="character" w:customStyle="1" w:styleId="48">
    <w:name w:val="Author Afiliation Char"/>
    <w:basedOn w:val="47"/>
    <w:link w:val="45"/>
    <w:qFormat/>
    <w:uiPriority w:val="0"/>
    <w:rPr>
      <w:rFonts w:ascii="Times New Roman" w:hAnsi="Times New Roman" w:eastAsia="Times New Roman"/>
      <w:sz w:val="16"/>
      <w:lang w:val="id-ID"/>
    </w:rPr>
  </w:style>
  <w:style w:type="character" w:customStyle="1" w:styleId="49">
    <w:name w:val="Heading 3 Char"/>
    <w:link w:val="4"/>
    <w:qFormat/>
    <w:uiPriority w:val="9"/>
    <w:rPr>
      <w:rFonts w:ascii="Times New Roman" w:hAnsi="Times New Roman" w:eastAsia="Times New Roman"/>
      <w:bCs/>
      <w:i/>
      <w:lang w:val="id-ID" w:eastAsia="zh-CN"/>
    </w:rPr>
  </w:style>
  <w:style w:type="paragraph" w:customStyle="1" w:styleId="50">
    <w:name w:val="Table Heading"/>
    <w:basedOn w:val="1"/>
    <w:link w:val="52"/>
    <w:qFormat/>
    <w:uiPriority w:val="0"/>
    <w:pPr>
      <w:ind w:firstLine="0"/>
      <w:jc w:val="center"/>
    </w:pPr>
    <w:rPr>
      <w:smallCaps/>
      <w:sz w:val="16"/>
      <w:lang w:val="zh-CN" w:eastAsia="zh-CN"/>
    </w:rPr>
  </w:style>
  <w:style w:type="character" w:customStyle="1" w:styleId="51">
    <w:name w:val="Heading 4 Char"/>
    <w:link w:val="5"/>
    <w:qFormat/>
    <w:uiPriority w:val="9"/>
    <w:rPr>
      <w:rFonts w:ascii="Times New Roman" w:hAnsi="Times New Roman"/>
      <w:i/>
      <w:lang w:val="en-AU" w:eastAsia="zh-CN"/>
    </w:rPr>
  </w:style>
  <w:style w:type="character" w:customStyle="1" w:styleId="52">
    <w:name w:val="Table Heading Char"/>
    <w:link w:val="50"/>
    <w:qFormat/>
    <w:uiPriority w:val="0"/>
    <w:rPr>
      <w:rFonts w:ascii="Times New Roman" w:hAnsi="Times New Roman" w:eastAsia="Times New Roman"/>
      <w:smallCaps/>
      <w:sz w:val="16"/>
    </w:rPr>
  </w:style>
  <w:style w:type="paragraph" w:customStyle="1" w:styleId="53">
    <w:name w:val="Figure Heading"/>
    <w:basedOn w:val="40"/>
    <w:link w:val="56"/>
    <w:qFormat/>
    <w:uiPriority w:val="0"/>
    <w:pPr>
      <w:ind w:firstLine="0"/>
      <w:jc w:val="center"/>
    </w:pPr>
    <w:rPr>
      <w:sz w:val="16"/>
      <w:szCs w:val="16"/>
    </w:rPr>
  </w:style>
  <w:style w:type="character" w:customStyle="1" w:styleId="54">
    <w:name w:val="atn"/>
    <w:uiPriority w:val="0"/>
  </w:style>
  <w:style w:type="character" w:customStyle="1" w:styleId="55">
    <w:name w:val="Text Char"/>
    <w:link w:val="40"/>
    <w:uiPriority w:val="0"/>
    <w:rPr>
      <w:rFonts w:ascii="Times New Roman" w:hAnsi="Times New Roman" w:eastAsia="Times New Roman"/>
    </w:rPr>
  </w:style>
  <w:style w:type="character" w:customStyle="1" w:styleId="56">
    <w:name w:val="Figure Heading Char"/>
    <w:link w:val="53"/>
    <w:qFormat/>
    <w:uiPriority w:val="0"/>
    <w:rPr>
      <w:rFonts w:ascii="Times New Roman" w:hAnsi="Times New Roman" w:eastAsia="Times New Roman"/>
      <w:sz w:val="16"/>
      <w:szCs w:val="16"/>
    </w:rPr>
  </w:style>
  <w:style w:type="paragraph" w:customStyle="1" w:styleId="57">
    <w:name w:val="IEEE Heading 2"/>
    <w:basedOn w:val="1"/>
    <w:next w:val="58"/>
    <w:qFormat/>
    <w:uiPriority w:val="0"/>
    <w:pPr>
      <w:numPr>
        <w:ilvl w:val="0"/>
        <w:numId w:val="7"/>
      </w:numPr>
      <w:adjustRightInd w:val="0"/>
      <w:snapToGrid w:val="0"/>
      <w:spacing w:before="150" w:after="60"/>
      <w:ind w:left="289" w:hanging="289"/>
      <w:jc w:val="left"/>
    </w:pPr>
    <w:rPr>
      <w:rFonts w:eastAsia="SimSun"/>
      <w:i/>
      <w:szCs w:val="24"/>
      <w:lang w:val="en-AU" w:eastAsia="zh-CN"/>
    </w:rPr>
  </w:style>
  <w:style w:type="paragraph" w:customStyle="1" w:styleId="58">
    <w:name w:val="IEEE Paragraph"/>
    <w:basedOn w:val="1"/>
    <w:link w:val="60"/>
    <w:qFormat/>
    <w:uiPriority w:val="0"/>
    <w:pPr>
      <w:adjustRightInd w:val="0"/>
      <w:snapToGrid w:val="0"/>
      <w:ind w:firstLine="216"/>
    </w:pPr>
    <w:rPr>
      <w:rFonts w:eastAsia="SimSun"/>
      <w:szCs w:val="24"/>
      <w:lang w:val="en-AU" w:eastAsia="zh-CN"/>
    </w:rPr>
  </w:style>
  <w:style w:type="paragraph" w:customStyle="1" w:styleId="59">
    <w:name w:val="IEEE Heading 1"/>
    <w:basedOn w:val="1"/>
    <w:next w:val="58"/>
    <w:uiPriority w:val="0"/>
    <w:pPr>
      <w:numPr>
        <w:ilvl w:val="0"/>
        <w:numId w:val="8"/>
      </w:numPr>
      <w:adjustRightInd w:val="0"/>
      <w:snapToGrid w:val="0"/>
      <w:spacing w:before="180" w:after="60"/>
      <w:ind w:left="289" w:hanging="289"/>
      <w:jc w:val="center"/>
    </w:pPr>
    <w:rPr>
      <w:rFonts w:eastAsia="SimSun"/>
      <w:smallCaps/>
      <w:szCs w:val="24"/>
      <w:lang w:val="en-AU" w:eastAsia="zh-CN"/>
    </w:rPr>
  </w:style>
  <w:style w:type="character" w:customStyle="1" w:styleId="60">
    <w:name w:val="IEEE Paragraph Char"/>
    <w:link w:val="58"/>
    <w:qFormat/>
    <w:uiPriority w:val="0"/>
    <w:rPr>
      <w:rFonts w:ascii="Times New Roman" w:hAnsi="Times New Roman" w:eastAsia="SimSun"/>
      <w:szCs w:val="24"/>
      <w:lang w:val="en-AU" w:eastAsia="zh-CN"/>
    </w:rPr>
  </w:style>
  <w:style w:type="paragraph" w:customStyle="1" w:styleId="61">
    <w:name w:val="IEEE Reference Item"/>
    <w:basedOn w:val="1"/>
    <w:qFormat/>
    <w:uiPriority w:val="0"/>
    <w:pPr>
      <w:tabs>
        <w:tab w:val="left" w:pos="432"/>
      </w:tabs>
      <w:adjustRightInd w:val="0"/>
      <w:snapToGrid w:val="0"/>
      <w:ind w:left="432" w:hanging="432"/>
    </w:pPr>
    <w:rPr>
      <w:rFonts w:eastAsia="SimSun"/>
      <w:sz w:val="16"/>
      <w:szCs w:val="24"/>
      <w:lang w:val="en-US" w:eastAsia="zh-CN"/>
    </w:rPr>
  </w:style>
  <w:style w:type="character" w:customStyle="1" w:styleId="62">
    <w:name w:val="Footnote Text Char"/>
    <w:link w:val="18"/>
    <w:semiHidden/>
    <w:qFormat/>
    <w:uiPriority w:val="99"/>
    <w:rPr>
      <w:rFonts w:ascii="Times New Roman" w:hAnsi="Times New Roman" w:eastAsia="Times New Roman"/>
      <w:lang w:val="id-ID"/>
    </w:rPr>
  </w:style>
  <w:style w:type="character" w:customStyle="1" w:styleId="63">
    <w:name w:val="Body Text Indent Char"/>
    <w:link w:val="10"/>
    <w:uiPriority w:val="0"/>
    <w:rPr>
      <w:rFonts w:ascii="Times New Roman" w:hAnsi="Times New Roman" w:eastAsia="Times New Roman"/>
      <w:sz w:val="24"/>
      <w:szCs w:val="24"/>
      <w:lang w:val="en-GB"/>
    </w:rPr>
  </w:style>
  <w:style w:type="paragraph" w:customStyle="1" w:styleId="64">
    <w:name w:val="IEEE Abstract Heading"/>
    <w:basedOn w:val="65"/>
    <w:next w:val="65"/>
    <w:link w:val="66"/>
    <w:qFormat/>
    <w:uiPriority w:val="0"/>
    <w:rPr>
      <w:i/>
    </w:rPr>
  </w:style>
  <w:style w:type="paragraph" w:customStyle="1" w:styleId="65">
    <w:name w:val="IEEE Abtract"/>
    <w:basedOn w:val="1"/>
    <w:next w:val="1"/>
    <w:link w:val="67"/>
    <w:qFormat/>
    <w:uiPriority w:val="0"/>
    <w:pPr>
      <w:adjustRightInd w:val="0"/>
      <w:snapToGrid w:val="0"/>
      <w:ind w:firstLine="0"/>
    </w:pPr>
    <w:rPr>
      <w:rFonts w:eastAsia="SimSun"/>
      <w:b/>
      <w:sz w:val="18"/>
      <w:szCs w:val="24"/>
      <w:lang w:val="en-GB" w:eastAsia="en-GB"/>
    </w:rPr>
  </w:style>
  <w:style w:type="character" w:customStyle="1" w:styleId="66">
    <w:name w:val="IEEE Abstract Heading Char"/>
    <w:link w:val="64"/>
    <w:qFormat/>
    <w:uiPriority w:val="0"/>
    <w:rPr>
      <w:rFonts w:ascii="Times New Roman" w:hAnsi="Times New Roman" w:eastAsia="SimSun"/>
      <w:b/>
      <w:i/>
      <w:sz w:val="18"/>
      <w:szCs w:val="24"/>
      <w:lang w:val="en-GB" w:eastAsia="en-GB"/>
    </w:rPr>
  </w:style>
  <w:style w:type="character" w:customStyle="1" w:styleId="67">
    <w:name w:val="IEEE Abtract Char"/>
    <w:link w:val="65"/>
    <w:qFormat/>
    <w:uiPriority w:val="0"/>
    <w:rPr>
      <w:rFonts w:ascii="Times New Roman" w:hAnsi="Times New Roman" w:eastAsia="SimSun"/>
      <w:b/>
      <w:sz w:val="18"/>
      <w:szCs w:val="24"/>
      <w:lang w:val="en-GB" w:eastAsia="en-GB"/>
    </w:rPr>
  </w:style>
  <w:style w:type="paragraph" w:customStyle="1" w:styleId="68">
    <w:name w:val="icsm_abstract"/>
    <w:basedOn w:val="1"/>
    <w:uiPriority w:val="0"/>
    <w:pPr>
      <w:spacing w:after="220"/>
      <w:ind w:firstLine="240"/>
    </w:pPr>
    <w:rPr>
      <w:sz w:val="18"/>
      <w:lang w:val="en-GB"/>
    </w:rPr>
  </w:style>
  <w:style w:type="character" w:customStyle="1" w:styleId="69">
    <w:name w:val="st"/>
    <w:qFormat/>
    <w:uiPriority w:val="0"/>
  </w:style>
  <w:style w:type="character" w:styleId="70">
    <w:name w:val="Placeholder Text"/>
    <w:basedOn w:val="7"/>
    <w:semiHidden/>
    <w:uiPriority w:val="99"/>
    <w:rPr>
      <w:color w:val="808080"/>
    </w:rPr>
  </w:style>
  <w:style w:type="character" w:customStyle="1" w:styleId="71">
    <w:name w:val="Subtle Emphasis"/>
    <w:basedOn w:val="7"/>
    <w:qFormat/>
    <w:uiPriority w:val="19"/>
    <w:rPr>
      <w:i/>
      <w:iCs/>
      <w:color w:val="808080" w:themeColor="text1" w:themeTint="80"/>
      <w14:textFill>
        <w14:solidFill>
          <w14:schemeClr w14:val="tx1">
            <w14:lumMod w14:val="50000"/>
            <w14:lumOff w14:val="50000"/>
          </w14:schemeClr>
        </w14:solidFill>
      </w14:textFill>
    </w:rPr>
  </w:style>
  <w:style w:type="character" w:customStyle="1" w:styleId="72">
    <w:name w:val="Subtitle Char"/>
    <w:basedOn w:val="7"/>
    <w:link w:val="21"/>
    <w:uiPriority w:val="11"/>
    <w:rPr>
      <w:rFonts w:asciiTheme="majorHAnsi" w:hAnsiTheme="majorHAnsi" w:eastAsiaTheme="majorEastAsia" w:cstheme="majorBidi"/>
      <w:i/>
      <w:iCs/>
      <w:color w:val="4F81BD" w:themeColor="accent1"/>
      <w:spacing w:val="15"/>
      <w:sz w:val="24"/>
      <w:szCs w:val="24"/>
      <w:lang w:val="id-ID"/>
      <w14:textFill>
        <w14:solidFill>
          <w14:schemeClr w14:val="accent1"/>
        </w14:solidFill>
      </w14:textFill>
    </w:rPr>
  </w:style>
  <w:style w:type="character" w:customStyle="1" w:styleId="73">
    <w:name w:val="Comment Text Char"/>
    <w:basedOn w:val="7"/>
    <w:link w:val="12"/>
    <w:semiHidden/>
    <w:qFormat/>
    <w:uiPriority w:val="99"/>
    <w:rPr>
      <w:rFonts w:ascii="Times New Roman" w:hAnsi="Times New Roman" w:eastAsia="Times New Roman"/>
      <w:lang w:val="id-ID"/>
    </w:rPr>
  </w:style>
  <w:style w:type="character" w:customStyle="1" w:styleId="74">
    <w:name w:val="Comment Subject Char"/>
    <w:basedOn w:val="73"/>
    <w:link w:val="13"/>
    <w:semiHidden/>
    <w:qFormat/>
    <w:uiPriority w:val="99"/>
    <w:rPr>
      <w:rFonts w:ascii="Times New Roman" w:hAnsi="Times New Roman" w:eastAsia="Times New Roman"/>
      <w:b/>
      <w:bCs/>
      <w:lang w:val="id-ID"/>
    </w:rPr>
  </w:style>
  <w:style w:type="character" w:customStyle="1" w:styleId="7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6E394-61E3-4966-98CF-67BCF78FC5EB}">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7</Pages>
  <Words>15578</Words>
  <Characters>88800</Characters>
  <Lines>740</Lines>
  <Paragraphs>208</Paragraphs>
  <TotalTime>7</TotalTime>
  <ScaleCrop>false</ScaleCrop>
  <LinksUpToDate>false</LinksUpToDate>
  <CharactersWithSpaces>104170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2025-12-16T06:24:00Z</dcterms:created>
  <dc:creator>Bayu</dc:creator>
  <cp:lastModifiedBy>WPS_1707970835</cp:lastModifiedBy>
  <dcterms:modified xsi:type="dcterms:W3CDTF">2025-12-27T06:32:17Z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d35d346f-92a8-3ba7-a823-24425570ce5b</vt:lpwstr>
  </property>
  <property fmtid="{D5CDD505-2E9C-101B-9397-08002B2CF9AE}" pid="4" name="Mendeley Citation Style_1">
    <vt:lpwstr>https://csl.mendeley.com/styles/29317611/jetv1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https://csl.mendeley.com/styles/29317611/jetv1</vt:lpwstr>
  </property>
  <property fmtid="{D5CDD505-2E9C-101B-9397-08002B2CF9AE}" pid="18" name="Mendeley Recent Style Name 6_1">
    <vt:lpwstr>JET</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509ae913-69ea-48b3-ab0c-e75a997034dc</vt:lpwstr>
  </property>
  <property fmtid="{D5CDD505-2E9C-101B-9397-08002B2CF9AE}" pid="26" name="KSOProductBuildVer">
    <vt:lpwstr>1033-12.2.0.23155</vt:lpwstr>
  </property>
  <property fmtid="{D5CDD505-2E9C-101B-9397-08002B2CF9AE}" pid="27" name="ICV">
    <vt:lpwstr>44279843E40B44F68B7109BC3239D42F_12</vt:lpwstr>
  </property>
</Properties>
</file>