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E1E5B">
      <w:pPr>
        <w:pStyle w:val="20"/>
        <w:spacing w:after="0"/>
        <w:rPr>
          <w:color w:val="000000" w:themeColor="text1"/>
          <w14:textFill>
            <w14:solidFill>
              <w14:schemeClr w14:val="tx1"/>
            </w14:solidFill>
          </w14:textFill>
        </w:rPr>
      </w:pPr>
      <w:r>
        <w:rPr>
          <w:color w:val="000000" w:themeColor="text1"/>
          <w14:textFill>
            <w14:solidFill>
              <w14:schemeClr w14:val="tx1"/>
            </w14:solidFill>
          </w14:textFill>
        </w:rPr>
        <w:t>PID Controller-Based Closed-Loop Fast Charging of Lithium-Ion Batteries Using the CCCV Method</w:t>
      </w:r>
    </w:p>
    <w:p w14:paraId="4DC85FD8">
      <w:pPr>
        <w:rPr>
          <w:color w:val="000000" w:themeColor="text1"/>
          <w14:textFill>
            <w14:solidFill>
              <w14:schemeClr w14:val="tx1"/>
            </w14:solidFill>
          </w14:textFill>
        </w:rPr>
      </w:pPr>
    </w:p>
    <w:p w14:paraId="1B11D277">
      <w:pPr>
        <w:pStyle w:val="41"/>
        <w:rPr>
          <w:color w:val="000000" w:themeColor="text1"/>
          <w:lang w:val="en-US"/>
          <w14:textFill>
            <w14:solidFill>
              <w14:schemeClr w14:val="tx1"/>
            </w14:solidFill>
          </w14:textFill>
        </w:rPr>
      </w:pPr>
      <w:r>
        <w:rPr>
          <w:color w:val="000000" w:themeColor="text1"/>
          <w14:textFill>
            <w14:solidFill>
              <w14:schemeClr w14:val="tx1"/>
            </w14:solidFill>
          </w14:textFill>
        </w:rPr>
        <w:t>Tole Sutikno</w:t>
      </w:r>
      <w:r>
        <w:rPr>
          <w:color w:val="000000" w:themeColor="text1"/>
          <w:vertAlign w:val="superscript"/>
          <w14:textFill>
            <w14:solidFill>
              <w14:schemeClr w14:val="tx1"/>
            </w14:solidFill>
          </w14:textFill>
        </w:rPr>
        <w:t>a</w:t>
      </w:r>
      <w:r>
        <w:rPr>
          <w:color w:val="000000" w:themeColor="text1"/>
          <w:vertAlign w:val="superscript"/>
          <w:lang w:val="en-US"/>
          <w14:textFill>
            <w14:solidFill>
              <w14:schemeClr w14:val="tx1"/>
            </w14:solidFill>
          </w14:textFill>
        </w:rPr>
        <w:t>,b</w:t>
      </w:r>
      <w:r>
        <w:rPr>
          <w:rFonts w:hint="default"/>
          <w:color w:val="000000" w:themeColor="text1"/>
          <w:vertAlign w:val="superscript"/>
          <w:lang w:val="en-US"/>
          <w14:textFill>
            <w14:solidFill>
              <w14:schemeClr w14:val="tx1"/>
            </w14:solidFill>
          </w14:textFill>
        </w:rPr>
        <w:t>,*</w:t>
      </w:r>
      <w:r>
        <w:rPr>
          <w:color w:val="000000" w:themeColor="text1"/>
          <w14:textFill>
            <w14:solidFill>
              <w14:schemeClr w14:val="tx1"/>
            </w14:solidFill>
          </w14:textFill>
        </w:rPr>
        <w:t>, Tri Wahono</w:t>
      </w:r>
      <w:r>
        <w:rPr>
          <w:color w:val="000000" w:themeColor="text1"/>
          <w:vertAlign w:val="superscript"/>
          <w14:textFill>
            <w14:solidFill>
              <w14:schemeClr w14:val="tx1"/>
            </w14:solidFill>
          </w14:textFill>
        </w:rPr>
        <w:t>a</w:t>
      </w:r>
      <w:r>
        <w:rPr>
          <w:color w:val="000000" w:themeColor="text1"/>
          <w:vertAlign w:val="superscript"/>
          <w:lang w:val="en-US"/>
          <w14:textFill>
            <w14:solidFill>
              <w14:schemeClr w14:val="tx1"/>
            </w14:solidFill>
          </w14:textFill>
        </w:rPr>
        <w:t>,b</w:t>
      </w:r>
      <w:r>
        <w:rPr>
          <w:color w:val="000000" w:themeColor="text1"/>
          <w14:textFill>
            <w14:solidFill>
              <w14:schemeClr w14:val="tx1"/>
            </w14:solidFill>
          </w14:textFill>
        </w:rPr>
        <w:t>,</w:t>
      </w:r>
      <w:r>
        <w:rPr>
          <w:color w:val="000000" w:themeColor="text1"/>
          <w:lang w:val="en-US"/>
          <w14:textFill>
            <w14:solidFill>
              <w14:schemeClr w14:val="tx1"/>
            </w14:solidFill>
          </w14:textFill>
        </w:rPr>
        <w:t xml:space="preserve"> Ahmad Raditya Cahya Baswara</w:t>
      </w:r>
      <w:r>
        <w:rPr>
          <w:color w:val="000000" w:themeColor="text1"/>
          <w:vertAlign w:val="superscript"/>
          <w:lang w:val="en-US"/>
          <w14:textFill>
            <w14:solidFill>
              <w14:schemeClr w14:val="tx1"/>
            </w14:solidFill>
          </w14:textFill>
        </w:rPr>
        <w:t>a</w:t>
      </w:r>
    </w:p>
    <w:p w14:paraId="50A679E2">
      <w:pPr>
        <w:pStyle w:val="42"/>
        <w:rPr>
          <w:color w:val="000000" w:themeColor="text1"/>
          <w:sz w:val="18"/>
          <w:szCs w:val="18"/>
          <w14:textFill>
            <w14:solidFill>
              <w14:schemeClr w14:val="tx1"/>
            </w14:solidFill>
          </w14:textFill>
        </w:rPr>
      </w:pPr>
      <w:r>
        <w:rPr>
          <w:color w:val="000000" w:themeColor="text1"/>
          <w:sz w:val="18"/>
          <w:szCs w:val="18"/>
          <w:vertAlign w:val="superscript"/>
          <w14:textFill>
            <w14:solidFill>
              <w14:schemeClr w14:val="tx1"/>
            </w14:solidFill>
          </w14:textFill>
        </w:rPr>
        <w:t>a</w:t>
      </w:r>
      <w:r>
        <w:rPr>
          <w:color w:val="000000" w:themeColor="text1"/>
          <w:sz w:val="18"/>
          <w:szCs w:val="18"/>
          <w14:textFill>
            <w14:solidFill>
              <w14:schemeClr w14:val="tx1"/>
            </w14:solidFill>
          </w14:textFill>
        </w:rPr>
        <w:t>Faculty of Industrial Technology</w:t>
      </w:r>
    </w:p>
    <w:p w14:paraId="3551DA67">
      <w:pPr>
        <w:pStyle w:val="42"/>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Ahmad Dahlan University </w:t>
      </w:r>
    </w:p>
    <w:p w14:paraId="35905D40">
      <w:pPr>
        <w:pStyle w:val="42"/>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Campus 4, Jl. Ring Road Selatan, Kragilan, Tamanan, Banguntapan</w:t>
      </w:r>
      <w:r>
        <w:rPr>
          <w:rFonts w:hint="default"/>
          <w:color w:val="000000" w:themeColor="text1"/>
          <w:sz w:val="18"/>
          <w:szCs w:val="18"/>
          <w:lang w:val="en-US"/>
          <w14:textFill>
            <w14:solidFill>
              <w14:schemeClr w14:val="tx1"/>
            </w14:solidFill>
          </w14:textFill>
        </w:rPr>
        <w:t xml:space="preserve">, </w:t>
      </w:r>
      <w:r>
        <w:rPr>
          <w:color w:val="000000" w:themeColor="text1"/>
          <w:sz w:val="18"/>
          <w:szCs w:val="18"/>
          <w14:textFill>
            <w14:solidFill>
              <w14:schemeClr w14:val="tx1"/>
            </w14:solidFill>
          </w14:textFill>
        </w:rPr>
        <w:t>Bantul</w:t>
      </w:r>
    </w:p>
    <w:p w14:paraId="2EC9C134">
      <w:pPr>
        <w:pStyle w:val="42"/>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 Yogyakarta 55191, Indonesia </w:t>
      </w:r>
    </w:p>
    <w:p w14:paraId="2013911A">
      <w:pPr>
        <w:pStyle w:val="42"/>
        <w:rPr>
          <w:color w:val="000000" w:themeColor="text1"/>
          <w:sz w:val="18"/>
          <w:szCs w:val="18"/>
          <w14:textFill>
            <w14:solidFill>
              <w14:schemeClr w14:val="tx1"/>
            </w14:solidFill>
          </w14:textFill>
        </w:rPr>
      </w:pPr>
      <w:r>
        <w:rPr>
          <w:color w:val="000000" w:themeColor="text1"/>
          <w:sz w:val="18"/>
          <w:szCs w:val="18"/>
          <w:vertAlign w:val="superscript"/>
          <w14:textFill>
            <w14:solidFill>
              <w14:schemeClr w14:val="tx1"/>
            </w14:solidFill>
          </w14:textFill>
        </w:rPr>
        <w:t>b</w:t>
      </w:r>
      <w:r>
        <w:rPr>
          <w:color w:val="000000" w:themeColor="text1"/>
          <w:sz w:val="18"/>
          <w:szCs w:val="18"/>
          <w14:textFill>
            <w14:solidFill>
              <w14:schemeClr w14:val="tx1"/>
            </w14:solidFill>
          </w14:textFill>
        </w:rPr>
        <w:t>Embedded System and Power Electronics Research Group</w:t>
      </w:r>
    </w:p>
    <w:p w14:paraId="3AE49683">
      <w:pPr>
        <w:pStyle w:val="42"/>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JEC Residence, No. B2, Plumbon, RT 12, Jl. Sukun Raya, Modalan, Banguntapan,</w:t>
      </w:r>
      <w:r>
        <w:rPr>
          <w:rFonts w:hint="default"/>
          <w:color w:val="000000" w:themeColor="text1"/>
          <w:sz w:val="18"/>
          <w:szCs w:val="18"/>
          <w:lang w:val="en-US"/>
          <w14:textFill>
            <w14:solidFill>
              <w14:schemeClr w14:val="tx1"/>
            </w14:solidFill>
          </w14:textFill>
        </w:rPr>
        <w:t xml:space="preserve"> </w:t>
      </w:r>
      <w:r>
        <w:rPr>
          <w:color w:val="000000" w:themeColor="text1"/>
          <w:sz w:val="18"/>
          <w:szCs w:val="18"/>
          <w14:textFill>
            <w14:solidFill>
              <w14:schemeClr w14:val="tx1"/>
            </w14:solidFill>
          </w14:textFill>
        </w:rPr>
        <w:t>Bantul</w:t>
      </w:r>
    </w:p>
    <w:p w14:paraId="53F08127">
      <w:pPr>
        <w:pStyle w:val="42"/>
        <w:rPr>
          <w:color w:val="000000" w:themeColor="text1"/>
          <w:sz w:val="18"/>
          <w:szCs w:val="18"/>
          <w:lang w:val="en-US"/>
          <w14:textFill>
            <w14:solidFill>
              <w14:schemeClr w14:val="tx1"/>
            </w14:solidFill>
          </w14:textFill>
        </w:rPr>
      </w:pPr>
      <w:r>
        <w:rPr>
          <w:color w:val="000000" w:themeColor="text1"/>
          <w:sz w:val="18"/>
          <w:szCs w:val="18"/>
          <w14:textFill>
            <w14:solidFill>
              <w14:schemeClr w14:val="tx1"/>
            </w14:solidFill>
          </w14:textFill>
        </w:rPr>
        <w:t xml:space="preserve"> Yogyakarta 55198</w:t>
      </w:r>
      <w:r>
        <w:rPr>
          <w:rFonts w:hint="default"/>
          <w:color w:val="000000" w:themeColor="text1"/>
          <w:sz w:val="18"/>
          <w:szCs w:val="18"/>
          <w:lang w:val="en-US"/>
          <w14:textFill>
            <w14:solidFill>
              <w14:schemeClr w14:val="tx1"/>
            </w14:solidFill>
          </w14:textFill>
        </w:rPr>
        <w:t>,</w:t>
      </w:r>
      <w:r>
        <w:rPr>
          <w:color w:val="000000" w:themeColor="text1"/>
          <w:sz w:val="18"/>
          <w:szCs w:val="18"/>
          <w14:textFill>
            <w14:solidFill>
              <w14:schemeClr w14:val="tx1"/>
            </w14:solidFill>
          </w14:textFill>
        </w:rPr>
        <w:t xml:space="preserve"> Indonesia </w:t>
      </w:r>
    </w:p>
    <w:p w14:paraId="4C978A23">
      <w:pPr>
        <w:pStyle w:val="42"/>
        <w:pBdr>
          <w:bottom w:val="single" w:color="auto" w:sz="6" w:space="1"/>
        </w:pBdr>
        <w:rPr>
          <w:color w:val="000000" w:themeColor="text1"/>
          <w:sz w:val="18"/>
          <w:szCs w:val="18"/>
          <w14:textFill>
            <w14:solidFill>
              <w14:schemeClr w14:val="tx1"/>
            </w14:solidFill>
          </w14:textFill>
        </w:rPr>
      </w:pPr>
    </w:p>
    <w:p w14:paraId="6C9B50CE">
      <w:pPr>
        <w:spacing w:before="120" w:after="120"/>
        <w:ind w:firstLine="0"/>
        <w:jc w:val="center"/>
        <w:rPr>
          <w:b/>
          <w:color w:val="000000" w:themeColor="text1"/>
          <w:sz w:val="18"/>
          <w:szCs w:val="18"/>
          <w:lang w:val="en-US"/>
          <w14:textFill>
            <w14:solidFill>
              <w14:schemeClr w14:val="tx1"/>
            </w14:solidFill>
          </w14:textFill>
        </w:rPr>
      </w:pPr>
      <w:r>
        <w:rPr>
          <w:b/>
          <w:color w:val="000000" w:themeColor="text1"/>
          <w:sz w:val="18"/>
          <w:szCs w:val="18"/>
          <w:lang w:val="en-US"/>
          <w14:textFill>
            <w14:solidFill>
              <w14:schemeClr w14:val="tx1"/>
            </w14:solidFill>
          </w14:textFill>
        </w:rPr>
        <w:t>Abstract</w:t>
      </w:r>
    </w:p>
    <w:p w14:paraId="2F909AB3">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This paper presents a closed-loop fast charging system for lithium-ion batteries based on the Constant</w:t>
      </w:r>
      <w:r>
        <w:rPr>
          <w:color w:val="000000" w:themeColor="text1"/>
          <w:sz w:val="18"/>
          <w:szCs w:val="18"/>
          <w:lang w:val="en-US"/>
          <w14:textFill>
            <w14:solidFill>
              <w14:schemeClr w14:val="tx1"/>
            </w14:solidFill>
          </w14:textFill>
        </w:rPr>
        <w:t>-</w:t>
      </w:r>
      <w:r>
        <w:rPr>
          <w:color w:val="000000" w:themeColor="text1"/>
          <w:sz w:val="18"/>
          <w:szCs w:val="18"/>
          <w14:textFill>
            <w14:solidFill>
              <w14:schemeClr w14:val="tx1"/>
            </w14:solidFill>
          </w14:textFill>
        </w:rPr>
        <w:t>Current</w:t>
      </w:r>
      <w:r>
        <w:rPr>
          <w:color w:val="000000" w:themeColor="text1"/>
          <w:sz w:val="18"/>
          <w:szCs w:val="18"/>
          <w:lang w:val="en-US"/>
          <w14:textFill>
            <w14:solidFill>
              <w14:schemeClr w14:val="tx1"/>
            </w14:solidFill>
          </w14:textFill>
        </w:rPr>
        <w:t xml:space="preserve"> </w:t>
      </w:r>
      <w:r>
        <w:rPr>
          <w:color w:val="000000" w:themeColor="text1"/>
          <w:sz w:val="18"/>
          <w:szCs w:val="18"/>
          <w14:textFill>
            <w14:solidFill>
              <w14:schemeClr w14:val="tx1"/>
            </w14:solidFill>
          </w14:textFill>
        </w:rPr>
        <w:t>Constant</w:t>
      </w:r>
      <w:r>
        <w:rPr>
          <w:color w:val="000000" w:themeColor="text1"/>
          <w:sz w:val="18"/>
          <w:szCs w:val="18"/>
          <w:lang w:val="en-US"/>
          <w14:textFill>
            <w14:solidFill>
              <w14:schemeClr w14:val="tx1"/>
            </w14:solidFill>
          </w14:textFill>
        </w:rPr>
        <w:t>-</w:t>
      </w:r>
      <w:r>
        <w:rPr>
          <w:color w:val="000000" w:themeColor="text1"/>
          <w:sz w:val="18"/>
          <w:szCs w:val="18"/>
          <w14:textFill>
            <w14:solidFill>
              <w14:schemeClr w14:val="tx1"/>
            </w14:solidFill>
          </w14:textFill>
        </w:rPr>
        <w:t>Voltage (CCCV) method enhanced with a Proportional</w:t>
      </w:r>
      <w:r>
        <w:rPr>
          <w:color w:val="000000" w:themeColor="text1"/>
          <w:sz w:val="18"/>
          <w:szCs w:val="18"/>
          <w:lang w:val="en-US"/>
          <w14:textFill>
            <w14:solidFill>
              <w14:schemeClr w14:val="tx1"/>
            </w14:solidFill>
          </w14:textFill>
        </w:rPr>
        <w:t xml:space="preserve"> </w:t>
      </w:r>
      <w:r>
        <w:rPr>
          <w:color w:val="000000" w:themeColor="text1"/>
          <w:sz w:val="18"/>
          <w:szCs w:val="18"/>
          <w14:textFill>
            <w14:solidFill>
              <w14:schemeClr w14:val="tx1"/>
            </w14:solidFill>
          </w14:textFill>
        </w:rPr>
        <w:t>Integral</w:t>
      </w:r>
      <w:r>
        <w:rPr>
          <w:color w:val="000000" w:themeColor="text1"/>
          <w:sz w:val="18"/>
          <w:szCs w:val="18"/>
          <w:lang w:val="en-US"/>
          <w14:textFill>
            <w14:solidFill>
              <w14:schemeClr w14:val="tx1"/>
            </w14:solidFill>
          </w14:textFill>
        </w:rPr>
        <w:t xml:space="preserve"> </w:t>
      </w:r>
      <w:r>
        <w:rPr>
          <w:color w:val="000000" w:themeColor="text1"/>
          <w:sz w:val="18"/>
          <w:szCs w:val="18"/>
          <w14:textFill>
            <w14:solidFill>
              <w14:schemeClr w14:val="tx1"/>
            </w14:solidFill>
          </w14:textFill>
        </w:rPr>
        <w:t>Derivative (PID) controller. The proposed system dynamically regulates the charging parameters by using real-time feedback from voltage and current sensors, with the aim of improving the efficiency of the charging and ensuring battery safety. Experimental results demonstrate that the PID-controlled method maintains a higher current during the initial bulk charging phase, significantly reduces total charging time, and avoids harmful voltage overshoot. Compared to conventional CCCV charging, the system achieves more stable voltage regulation and gradual current tapering, effectively minimizing thermal stress and preventing overcharging. A comparative analysis shows that the PID approach outperforms traditional methods in terms of energy efficiency, thermal management, and operational safety. The system architecture is suitable for integration into Battery Management Systems (BMS) of electric vehicles, portable electronics, and renewable energy storage. This research not only validates the practicality of using PID in fast charging applications but also lays the foundation for future enhancements using intelligent control strategies and adaptive learning algorithms. The findings suggest that PID-controlled charging systems offer a promising solution to the challenges of rapid, reliable, and safe energy replenishment in modern battery-powered technologies.</w:t>
      </w:r>
    </w:p>
    <w:p w14:paraId="1B9335F8">
      <w:pPr>
        <w:rPr>
          <w:color w:val="000000" w:themeColor="text1"/>
          <w:sz w:val="18"/>
          <w:szCs w:val="18"/>
          <w14:textFill>
            <w14:solidFill>
              <w14:schemeClr w14:val="tx1"/>
            </w14:solidFill>
          </w14:textFill>
        </w:rPr>
      </w:pPr>
    </w:p>
    <w:p w14:paraId="798A3C76">
      <w:pPr>
        <w:ind w:firstLine="0"/>
        <w:rPr>
          <w:rStyle w:val="64"/>
          <w:b w:val="0"/>
          <w:color w:val="000000" w:themeColor="text1"/>
          <w:szCs w:val="18"/>
          <w:lang w:val="id-ID"/>
          <w14:textFill>
            <w14:solidFill>
              <w14:schemeClr w14:val="tx1"/>
            </w14:solidFill>
          </w14:textFill>
        </w:rPr>
      </w:pPr>
      <w:r>
        <w:rPr>
          <w:rStyle w:val="63"/>
          <w:i w:val="0"/>
          <w:color w:val="000000" w:themeColor="text1"/>
          <w:szCs w:val="18"/>
          <w14:textFill>
            <w14:solidFill>
              <w14:schemeClr w14:val="tx1"/>
            </w14:solidFill>
          </w14:textFill>
        </w:rPr>
        <w:t>Keywords:</w:t>
      </w:r>
      <w:r>
        <w:rPr>
          <w:rStyle w:val="63"/>
          <w:b w:val="0"/>
          <w:i w:val="0"/>
          <w:color w:val="000000" w:themeColor="text1"/>
          <w:szCs w:val="18"/>
          <w14:textFill>
            <w14:solidFill>
              <w14:schemeClr w14:val="tx1"/>
            </w14:solidFill>
          </w14:textFill>
        </w:rPr>
        <w:t xml:space="preserve"> </w:t>
      </w:r>
      <w:r>
        <w:rPr>
          <w:rStyle w:val="63"/>
          <w:rFonts w:hint="default"/>
          <w:b w:val="0"/>
          <w:i w:val="0"/>
          <w:color w:val="000000" w:themeColor="text1"/>
          <w:szCs w:val="18"/>
          <w:lang w:val="en-US"/>
          <w14:textFill>
            <w14:solidFill>
              <w14:schemeClr w14:val="tx1"/>
            </w14:solidFill>
          </w14:textFill>
        </w:rPr>
        <w:t>f</w:t>
      </w:r>
      <w:r>
        <w:rPr>
          <w:rStyle w:val="63"/>
          <w:b w:val="0"/>
          <w:i w:val="0"/>
          <w:color w:val="000000" w:themeColor="text1"/>
          <w:szCs w:val="18"/>
          <w14:textFill>
            <w14:solidFill>
              <w14:schemeClr w14:val="tx1"/>
            </w14:solidFill>
          </w14:textFill>
        </w:rPr>
        <w:t>ast charging, lithium-ion battery, PID controller, CCCV method, closed-loop control, battery management system</w:t>
      </w:r>
      <w:r>
        <w:rPr>
          <w:rFonts w:eastAsia="SimSun"/>
          <w:color w:val="000000" w:themeColor="text1"/>
          <w:sz w:val="18"/>
          <w:szCs w:val="18"/>
          <w:lang w:val="en-US" w:eastAsia="en-GB"/>
          <w14:textFill>
            <w14:solidFill>
              <w14:schemeClr w14:val="tx1"/>
            </w14:solidFill>
          </w14:textFill>
        </w:rPr>
        <w:t>.</w:t>
      </w:r>
    </w:p>
    <w:p w14:paraId="473E851C">
      <w:pPr>
        <w:pBdr>
          <w:bottom w:val="single" w:color="auto" w:sz="6" w:space="1"/>
        </w:pBdr>
        <w:ind w:firstLine="0"/>
        <w:rPr>
          <w:rStyle w:val="64"/>
          <w:i/>
          <w:color w:val="000000" w:themeColor="text1"/>
          <w:szCs w:val="18"/>
          <w14:textFill>
            <w14:solidFill>
              <w14:schemeClr w14:val="tx1"/>
            </w14:solidFill>
          </w14:textFill>
        </w:rPr>
      </w:pPr>
    </w:p>
    <w:p w14:paraId="448561F5">
      <w:pPr>
        <w:rPr>
          <w:color w:val="000000" w:themeColor="text1"/>
          <w:lang w:val="en-US"/>
          <w14:textFill>
            <w14:solidFill>
              <w14:schemeClr w14:val="tx1"/>
            </w14:solidFill>
          </w14:textFill>
        </w:rPr>
      </w:pPr>
    </w:p>
    <w:p w14:paraId="4C0BC53A">
      <w:pPr>
        <w:rPr>
          <w:color w:val="000000" w:themeColor="text1"/>
          <w:lang w:val="en-US"/>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footnotePr>
            <w:numFmt w:val="chicago"/>
            <w:numRestart w:val="eachPage"/>
          </w:footnotePr>
          <w:type w:val="continuous"/>
          <w:pgSz w:w="11906" w:h="16838"/>
          <w:pgMar w:top="1134" w:right="1134" w:bottom="1134" w:left="1418" w:header="720" w:footer="720" w:gutter="0"/>
          <w:pgNumType w:fmt="decimal" w:start="162"/>
          <w:cols w:space="284" w:num="1"/>
          <w:titlePg/>
          <w:docGrid w:linePitch="272" w:charSpace="0"/>
        </w:sectPr>
      </w:pPr>
    </w:p>
    <w:p w14:paraId="7A9A1803">
      <w:pPr>
        <w:pStyle w:val="2"/>
        <w:spacing w:before="0"/>
        <w:rPr>
          <w:color w:val="000000" w:themeColor="text1"/>
          <w14:textFill>
            <w14:solidFill>
              <w14:schemeClr w14:val="tx1"/>
            </w14:solidFill>
          </w14:textFill>
        </w:rPr>
      </w:pPr>
      <w:r>
        <w:rPr>
          <w:color w:val="000000" w:themeColor="text1"/>
          <w14:textFill>
            <w14:solidFill>
              <w14:schemeClr w14:val="tx1"/>
            </w14:solidFill>
          </w14:textFill>
        </w:rPr>
        <w:t>Introduction</w:t>
      </w:r>
    </w:p>
    <w:p w14:paraId="08E83626">
      <w:pPr>
        <w:pStyle w:val="37"/>
        <w:keepNext w:val="0"/>
        <w:keepLines w:val="0"/>
        <w:pageBreakBefore w:val="0"/>
        <w:kinsoku/>
        <w:wordWrap/>
        <w:overflowPunct/>
        <w:topLinePunct w:val="0"/>
        <w:bidi w:val="0"/>
        <w:adjustRightInd/>
        <w:snapToGrid/>
        <w:ind w:firstLine="357"/>
        <w:textAlignment w:val="auto"/>
        <w:rPr>
          <w:rFonts w:ascii="Arial" w:hAnsi="Arial" w:cs="Arial"/>
          <w:color w:val="000000" w:themeColor="text1"/>
          <w14:textFill>
            <w14:solidFill>
              <w14:schemeClr w14:val="tx1"/>
            </w14:solidFill>
          </w14:textFill>
        </w:rPr>
      </w:pPr>
      <w:r>
        <w:rPr>
          <w:color w:val="000000" w:themeColor="text1"/>
          <w14:textFill>
            <w14:solidFill>
              <w14:schemeClr w14:val="tx1"/>
            </w14:solidFill>
          </w14:textFill>
        </w:rPr>
        <w:t xml:space="preserve">Lithium-ion batteries (LIBs) are widely used in various applications, including electric vehicles (EVs), portable electronics, and renewable energy storage, due to their high energy density and long cycle life </w:t>
      </w:r>
      <w:r>
        <w:rPr>
          <w:color w:val="000000" w:themeColor="text1"/>
          <w14:textFill>
            <w14:solidFill>
              <w14:schemeClr w14:val="tx1"/>
            </w14:solidFill>
          </w14:textFill>
        </w:rPr>
        <w:fldChar w:fldCharType="begin" w:fldLock="1"/>
      </w:r>
      <w:r>
        <w:rPr>
          <w:color w:val="000000" w:themeColor="text1"/>
          <w14:textFill>
            <w14:solidFill>
              <w14:schemeClr w14:val="tx1"/>
            </w14:solidFill>
          </w14:textFill>
        </w:rPr>
        <w:instrText xml:space="preserve">ADDIN CSL_CITATION {"citationItems":[{"id":"ITEM-1","itemData":{"DOI":"10.1016/j.renene.2019.08.077","ISSN":"09601481","author":[{"dropping-particle":"","family":"Li","given":"Yunjian","non-dropping-particle":"","parse-names":false,"suffix":""},{"dropping-particle":"","family":"Li","given":"Kuining","non-dropping-particle":"","parse-names":false,"suffix":""},{"dropping-particle":"","family":"Xie","given":"Yi","non-dropping-particle":"","parse-names":false,"suffix":""},{"dropping-particle":"","family":"Liu","given":"Jiangyan","non-dropping-particle":"","parse-names":false,"suffix":""},{"dropping-particle":"","family":"Fu","given":"Chunyun","non-dropping-particle":"","parse-names":false,"suffix":""},{"dropping-particle":"","family":"Liu","given":"Bin","non-dropping-particle":"","parse-names":false,"suffix":""}],"container-title":"Renewable Energy","id":"ITEM-1","issued":{"date-parts":[["2020","2"]]},"page":"2688-2699","publisher":"Elsevier","title":"Optimized charging of lithium-ion battery for electric vehicles: Adaptive multistage constant current–constant voltage charging strategy","type":"article-journal","volume":"146"},"uris":["http://www.mendeley.com/documents/?uuid=87eb709c-db2f-40d5-b55a-8e1acac963e9"]},{"id":"ITEM-2","itemData":{"DOI":"10.11591/ijaas.v13.i3.pp591-599","ISSN":"2722-2594","abstract":"The role of electric vehicles (EVs) is very important in the coming years because of their environmental friendliness and ability to absorb excess electricity from renewable energy sources (RES). Charging EVs will have an immediate negative impact on the power grid. EV smart charging provides a solution to these problems. For sustainable energy management, smart charging technology offers significant advantages in terms of faster charging times and optimized grid usage. By leveraging advanced algorithms and real-time communication capabilities, smart chargers enhance the efficiency, convenience, and environmental sustainability of EV charging infrastructure. Constant-current (CC) and constant-voltage (CV) technologies are essential components of smart charging systems, contributing to improved charging efficiency, battery safety, and grid stability. By regulating the charging process and optimizing power flow, these technologies play a crucial role in advancing the adoption of EVs and promoting sustainable energy management. When advanced CC-CV technologies are added to smart charging systems, the whole paradigm changes. Charging efficiency goes up by 40%, charging time goes down by 50%, and the grid's impact is reduced by 50% through better energy distribution.","author":[{"dropping-particle":"","family":"Sutikno","given":"Tole","non-dropping-particle":"","parse-names":false,"suffix":""},{"dropping-particle":"","family":"Wahono","given":"Tri","non-dropping-particle":"","parse-names":false,"suffix":""},{"dropping-particle":"","family":"Ardiansyah","given":"Ardiansyah","non-dropping-particle":"","parse-names":false,"suffix":""}],"container-title":"International Journal of Advances in Applied Sciences","id":"ITEM-2","issue":"3","issued":{"date-parts":[["2024","9","1"]]},"page":"591","title":"A study of smart charging for electric vehicles using constant-current and constant-voltage technology","type":"article-journal","volume":"13"},"uris":["http://www.mendeley.com/documents/?uuid=61b9c472-890a-4d70-8a84-1eede33e1ca3"]},{"id":"ITEM-3","itemData":{"DOI":"10.1016/j.egyr.2024.05.062","ISSN":"2352-4847","author":[{"dropping-particle":"","family":"Shahed","given":"Tanvir","non-dropping-particle":"","parse-names":false,"suffix":""},{"dropping-particle":"","family":"Rashid","given":"A B M Harun-ur","non-dropping-particle":"","parse-names":false,"suffix":""}],"container-title":"Energy Reports","id":"ITEM-3","issue":"May 2023","issued":{"date-parts":[["2024"]]},"page":"5978-5998","publisher":"Elsevier Ltd","title":"Battery charging technologies and standards for electric vehicles : A state-of-the-art review , challenges , and future research prospects","type":"article-journal","volume":"11"},"uris":["http://www.mendeley.com/documents/?uuid=55f54623-48f3-45ac-a4b6-e1a772fba081"]},{"id":"ITEM-4","itemData":{"DOI":"10.1016/j.sajce.2024.09.008","ISSN":"10269185","abstract":"Advances in cathode materials continue to drive the development of safer, more efficient, and sustainable lithium-ion (Li-ion) batteries for various applications, including electric vehicles (EVs) and grid storage. This review article offers insights into key elements—lithium, nickel, manganese, cobalt, and aluminium—within modern battery technology, focusing on their roles and significance in Li-ion batteries. The review paper delves into the materials comprising a Li-ion battery cell, including the cathode, anode, current concentrators, binders, additives, electrolyte, separator, and cell casing, elucidating their roles and characteristics. Additionally, it examines various cathode materials crucial to the performance and safety of Li-ion batteries, such as spinels, lithium metal oxides, and olivines, presenting their distinct advantages and challenges for battery applications. Lithium manganese (Li-Mn-O) spinels, like LiMn2O4, offer a cost-effective and environmentally friendly option with good thermal stability despite challenges such as capacity fading, which necessitate innovative approaches like dual-doping strategies. Nickel-rich lithium metal oxides like LiNixMnyCo1-x-yO2 provide high specific energy but face/encounter issues with cobalt reliance and stability, prompting research to reduce cobalt content and increase nickel content. Olivine-based cathode materials, such as lithium iron phosphate (LiFePO4), prioritize safety and stability but exhibit lower energy density, leading to exploration into isomorphous substitutions and nanostructuring to enhance performance. Safety considerations, including thermal management and rigorous testing protocols, are essential to mitigate risks of thermal runaway and short circuits. Thus, this review scrutinizes recent advancements in Li-ion battery cathode materials, delving into strategies aimed at mitigating associated drawbacks and identifying suitable electrode materials based on their electrochemical performance and capacity during operation.","author":[{"dropping-particle":"","family":"Koech","given":"Alex K.","non-dropping-particle":"","parse-names":false,"suffix":""},{"dropping-particle":"","family":"Mwandila","given":"Gershom","non-dropping-particle":"","parse-names":false,"suffix":""},{"dropping-particle":"","family":"Mulolani","given":"Francis","non-dropping-particle":"","parse-names":false,"suffix":""},{"dropping-particle":"","family":"Mwaanga","given":"Phenny","non-dropping-particle":"","parse-names":false,"suffix":""}],"container-title":"South African Journal of Chemical Engineering","id":"ITEM-4","issue":"September","issued":{"date-parts":[["2024"]]},"page":"321-339","publisher":"Elsevier B.V.","title":"Lithium-ion battery fundamentals and exploration of cathode materials: A review","type":"article-journal","volume":"50"},"uris":["http://www.mendeley.com/documents/?uuid=b7b3a3d9-5c58-4a14-87f7-1115881fc30c"]}],"mendeley":{"formattedCitation":"[1]–[4]","plainTextFormattedCitation":"[1]–[4]","previouslyFormattedCitation":"[1]–[4]"},"properties":{"noteIndex":0},"schema":"https://github.com/citation-style-language/schema/raw/master/csl-citation.json"}</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color w:val="000000" w:themeColor="text1"/>
          <w14:textFill>
            <w14:solidFill>
              <w14:schemeClr w14:val="tx1"/>
            </w14:solidFill>
          </w14:textFill>
        </w:rPr>
        <w:t>. However, conventional charging methods can be inefficient and can lead to battery degradation, overheating, and safety concerns. Fast charging techniques are essential to meet the growing energy demands and reduce charging times without compromising battery lifespan.</w:t>
      </w:r>
    </w:p>
    <w:p w14:paraId="7412E457">
      <w:pPr>
        <w:keepNext w:val="0"/>
        <w:keepLines w:val="0"/>
        <w:pageBreakBefore w:val="0"/>
        <w:kinsoku/>
        <w:wordWrap/>
        <w:overflowPunct/>
        <w:topLinePunct w:val="0"/>
        <w:bidi w:val="0"/>
        <w:adjustRightInd/>
        <w:snapToGrid/>
        <w:ind w:firstLine="357"/>
        <w:textAlignment w:val="auto"/>
        <w:rPr>
          <w:color w:val="000000" w:themeColor="text1"/>
          <w:lang w:val="en-US"/>
          <w14:textFill>
            <w14:solidFill>
              <w14:schemeClr w14:val="tx1"/>
            </w14:solidFill>
          </w14:textFill>
        </w:rPr>
      </w:pPr>
      <w:r>
        <w:rPr>
          <w:color w:val="000000" w:themeColor="text1"/>
          <w:lang w:eastAsia="id-ID"/>
          <w14:textFill>
            <w14:solidFill>
              <w14:schemeClr w14:val="tx1"/>
            </w14:solidFill>
          </w14:textFill>
        </w:rPr>
        <mc:AlternateContent>
          <mc:Choice Requires="wps">
            <w:drawing>
              <wp:anchor distT="0" distB="0" distL="114300" distR="114300" simplePos="0" relativeHeight="251662336" behindDoc="1" locked="0" layoutInCell="1" allowOverlap="1">
                <wp:simplePos x="0" y="0"/>
                <wp:positionH relativeFrom="column">
                  <wp:posOffset>-78740</wp:posOffset>
                </wp:positionH>
                <wp:positionV relativeFrom="margin">
                  <wp:posOffset>8029575</wp:posOffset>
                </wp:positionV>
                <wp:extent cx="2915920" cy="956945"/>
                <wp:effectExtent l="0" t="0" r="0" b="0"/>
                <wp:wrapSquare wrapText="bothSides"/>
                <wp:docPr id="22" name="Text Box 22"/>
                <wp:cNvGraphicFramePr/>
                <a:graphic xmlns:a="http://schemas.openxmlformats.org/drawingml/2006/main">
                  <a:graphicData uri="http://schemas.microsoft.com/office/word/2010/wordprocessingShape">
                    <wps:wsp>
                      <wps:cNvSpPr txBox="1">
                        <a:spLocks noChangeArrowheads="1"/>
                      </wps:cNvSpPr>
                      <wps:spPr bwMode="auto">
                        <a:xfrm>
                          <a:off x="0" y="0"/>
                          <a:ext cx="2915920" cy="956945"/>
                        </a:xfrm>
                        <a:prstGeom prst="rect">
                          <a:avLst/>
                        </a:prstGeom>
                        <a:noFill/>
                        <a:ln>
                          <a:noFill/>
                        </a:ln>
                        <a:effectLst/>
                      </wps:spPr>
                      <wps:txbx>
                        <w:txbxContent>
                          <w:p w14:paraId="11122F2A">
                            <w:pPr>
                              <w:widowControl w:val="0"/>
                              <w:pBdr>
                                <w:top w:val="single" w:color="auto" w:sz="6" w:space="1"/>
                              </w:pBdr>
                              <w:autoSpaceDE w:val="0"/>
                              <w:autoSpaceDN w:val="0"/>
                              <w:adjustRightInd w:val="0"/>
                              <w:ind w:right="-28" w:firstLine="0"/>
                              <w:jc w:val="left"/>
                              <w:rPr>
                                <w:i/>
                                <w:color w:val="auto"/>
                                <w:w w:val="104"/>
                                <w:sz w:val="16"/>
                                <w:szCs w:val="16"/>
                              </w:rPr>
                            </w:pPr>
                            <w:bookmarkStart w:id="0" w:name="_Hlk91702109"/>
                            <w:bookmarkEnd w:id="0"/>
                            <w:r>
                              <w:rPr>
                                <w:i/>
                                <w:color w:val="auto"/>
                                <w:w w:val="104"/>
                                <w:sz w:val="16"/>
                                <w:szCs w:val="16"/>
                              </w:rPr>
                              <w:t xml:space="preserve">* </w:t>
                            </w:r>
                            <w:r>
                              <w:rPr>
                                <w:color w:val="auto"/>
                                <w:w w:val="104"/>
                                <w:sz w:val="16"/>
                                <w:szCs w:val="16"/>
                              </w:rPr>
                              <w:t>Corresponding Author</w:t>
                            </w:r>
                            <w:r>
                              <w:rPr>
                                <w:i/>
                                <w:color w:val="auto"/>
                                <w:w w:val="104"/>
                                <w:sz w:val="16"/>
                                <w:szCs w:val="16"/>
                              </w:rPr>
                              <w:t xml:space="preserve">. </w:t>
                            </w:r>
                          </w:p>
                          <w:p w14:paraId="219587A1">
                            <w:pPr>
                              <w:pStyle w:val="42"/>
                              <w:jc w:val="left"/>
                              <w:rPr>
                                <w:i w:val="0"/>
                                <w:color w:val="auto"/>
                                <w:szCs w:val="16"/>
                                <w:lang w:val="en-US"/>
                              </w:rPr>
                            </w:pPr>
                            <w:r>
                              <w:rPr>
                                <w:i w:val="0"/>
                                <w:color w:val="auto"/>
                                <w:w w:val="104"/>
                                <w:szCs w:val="16"/>
                              </w:rPr>
                              <w:t xml:space="preserve">Email: </w:t>
                            </w:r>
                            <w:r>
                              <w:rPr>
                                <w:rFonts w:hint="default"/>
                                <w:i w:val="0"/>
                                <w:color w:val="auto"/>
                                <w:w w:val="104"/>
                                <w:szCs w:val="16"/>
                              </w:rPr>
                              <w:t>tole@te.uad.ac.id</w:t>
                            </w:r>
                            <w:r>
                              <w:rPr>
                                <w:i w:val="0"/>
                                <w:color w:val="auto"/>
                                <w:w w:val="104"/>
                                <w:szCs w:val="16"/>
                              </w:rPr>
                              <w:t xml:space="preserve">  </w:t>
                            </w:r>
                          </w:p>
                          <w:p w14:paraId="03FF5495">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Received:</w:t>
                            </w:r>
                            <w:r>
                              <w:rPr>
                                <w:rFonts w:hint="default"/>
                                <w:color w:val="000000" w:themeColor="text1"/>
                                <w:w w:val="104"/>
                                <w:sz w:val="16"/>
                                <w:szCs w:val="16"/>
                                <w:lang w:val="en-US"/>
                                <w14:textFill>
                                  <w14:solidFill>
                                    <w14:schemeClr w14:val="tx1"/>
                                  </w14:solidFill>
                                </w14:textFill>
                              </w:rPr>
                              <w:t xml:space="preserve"> June 10</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rFonts w:hint="default"/>
                                <w:color w:val="000000" w:themeColor="text1"/>
                                <w:w w:val="104"/>
                                <w:sz w:val="16"/>
                                <w:szCs w:val="16"/>
                                <w:lang w:val="en-US"/>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w:t>
                            </w:r>
                            <w:r>
                              <w:rPr>
                                <w:color w:val="000000" w:themeColor="text1"/>
                                <w:w w:val="104"/>
                                <w:sz w:val="16"/>
                                <w:szCs w:val="16"/>
                                <w:lang w:val="en-US"/>
                                <w14:textFill>
                                  <w14:solidFill>
                                    <w14:schemeClr w14:val="tx1"/>
                                  </w14:solidFill>
                                </w14:textFill>
                              </w:rPr>
                              <w:t xml:space="preserve"> </w:t>
                            </w:r>
                            <w:r>
                              <w:rPr>
                                <w:color w:val="000000" w:themeColor="text1"/>
                                <w:w w:val="104"/>
                                <w:sz w:val="16"/>
                                <w:szCs w:val="16"/>
                                <w14:textFill>
                                  <w14:solidFill>
                                    <w14:schemeClr w14:val="tx1"/>
                                  </w14:solidFill>
                                </w14:textFill>
                              </w:rPr>
                              <w:t xml:space="preserve">Revised: </w:t>
                            </w:r>
                            <w:r>
                              <w:rPr>
                                <w:rFonts w:hint="default"/>
                                <w:color w:val="000000" w:themeColor="text1"/>
                                <w:w w:val="104"/>
                                <w:sz w:val="16"/>
                                <w:szCs w:val="16"/>
                                <w:lang w:val="en-US"/>
                                <w14:textFill>
                                  <w14:solidFill>
                                    <w14:schemeClr w14:val="tx1"/>
                                  </w14:solidFill>
                                </w14:textFill>
                              </w:rPr>
                              <w:t>July 7</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p>
                          <w:p w14:paraId="77B083CB">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Accepted:</w:t>
                            </w:r>
                            <w:r>
                              <w:rPr>
                                <w:rFonts w:hint="default"/>
                                <w:color w:val="000000" w:themeColor="text1"/>
                                <w:w w:val="104"/>
                                <w:sz w:val="16"/>
                                <w:szCs w:val="16"/>
                                <w:lang w:val="en-US"/>
                                <w14:textFill>
                                  <w14:solidFill>
                                    <w14:schemeClr w14:val="tx1"/>
                                  </w14:solidFill>
                                </w14:textFill>
                              </w:rPr>
                              <w:t xml:space="preserve"> Agustus 11</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 xml:space="preserve">; Published: </w:t>
                            </w:r>
                            <w:r>
                              <w:rPr>
                                <w:rFonts w:hint="default"/>
                                <w:color w:val="000000" w:themeColor="text1"/>
                                <w:w w:val="104"/>
                                <w:sz w:val="16"/>
                                <w:szCs w:val="16"/>
                                <w:lang w:val="en-US"/>
                                <w14:textFill>
                                  <w14:solidFill>
                                    <w14:schemeClr w14:val="tx1"/>
                                  </w14:solidFill>
                                </w14:textFill>
                              </w:rPr>
                              <w:t xml:space="preserve">December </w:t>
                            </w:r>
                            <w:r>
                              <w:rPr>
                                <w:color w:val="000000" w:themeColor="text1"/>
                                <w:w w:val="104"/>
                                <w:sz w:val="16"/>
                                <w:szCs w:val="16"/>
                                <w14:textFill>
                                  <w14:solidFill>
                                    <w14:schemeClr w14:val="tx1"/>
                                  </w14:solidFill>
                                </w14:textFill>
                              </w:rPr>
                              <w:t>31, 202</w:t>
                            </w:r>
                            <w:r>
                              <w:rPr>
                                <w:rFonts w:hint="default"/>
                                <w:color w:val="000000" w:themeColor="text1"/>
                                <w:w w:val="104"/>
                                <w:sz w:val="16"/>
                                <w:szCs w:val="16"/>
                                <w:lang w:val="en-US"/>
                                <w14:textFill>
                                  <w14:solidFill>
                                    <w14:schemeClr w14:val="tx1"/>
                                  </w14:solidFill>
                                </w14:textFill>
                              </w:rPr>
                              <w:t>5</w:t>
                            </w:r>
                          </w:p>
                          <w:p w14:paraId="105766DB">
                            <w:pPr>
                              <w:widowControl w:val="0"/>
                              <w:tabs>
                                <w:tab w:val="left" w:pos="1985"/>
                              </w:tabs>
                              <w:autoSpaceDE w:val="0"/>
                              <w:autoSpaceDN w:val="0"/>
                              <w:adjustRightInd w:val="0"/>
                              <w:ind w:right="-28" w:firstLine="0"/>
                              <w:rPr>
                                <w:rFonts w:eastAsia="Calibri"/>
                                <w:color w:val="000000" w:themeColor="text1"/>
                                <w:sz w:val="16"/>
                                <w:szCs w:val="16"/>
                                <w:lang w:val="en-US"/>
                                <w14:textFill>
                                  <w14:solidFill>
                                    <w14:schemeClr w14:val="tx1"/>
                                  </w14:solidFill>
                                </w14:textFill>
                              </w:rPr>
                            </w:pPr>
                          </w:p>
                          <w:p w14:paraId="3F7C198F">
                            <w:pPr>
                              <w:widowControl w:val="0"/>
                              <w:tabs>
                                <w:tab w:val="left" w:pos="1985"/>
                              </w:tabs>
                              <w:autoSpaceDE w:val="0"/>
                              <w:autoSpaceDN w:val="0"/>
                              <w:adjustRightInd w:val="0"/>
                              <w:ind w:right="-28" w:firstLine="0"/>
                              <w:rPr>
                                <w:rFonts w:eastAsia="Calibri"/>
                                <w:color w:val="000000" w:themeColor="text1"/>
                                <w:sz w:val="16"/>
                                <w:szCs w:val="16"/>
                                <w14:textFill>
                                  <w14:solidFill>
                                    <w14:schemeClr w14:val="tx1"/>
                                  </w14:solidFill>
                                </w14:textFill>
                              </w:rPr>
                            </w:pPr>
                            <w:r>
                              <w:rPr>
                                <w:rFonts w:eastAsia="Calibri"/>
                                <w:color w:val="000000" w:themeColor="text1"/>
                                <w:sz w:val="16"/>
                                <w:szCs w:val="16"/>
                                <w:lang w:val="en-US"/>
                                <w14:textFill>
                                  <w14:solidFill>
                                    <w14:schemeClr w14:val="tx1"/>
                                  </w14:solidFill>
                                </w14:textFill>
                              </w:rPr>
                              <w:t>Open access under CC-BY-NC-SA</w:t>
                            </w:r>
                          </w:p>
                          <w:p w14:paraId="4F25ED5A">
                            <w:pPr>
                              <w:widowControl w:val="0"/>
                              <w:tabs>
                                <w:tab w:val="left" w:pos="1985"/>
                              </w:tabs>
                              <w:autoSpaceDE w:val="0"/>
                              <w:autoSpaceDN w:val="0"/>
                              <w:adjustRightInd w:val="0"/>
                              <w:ind w:right="-28" w:firstLine="0"/>
                              <w:rPr>
                                <w:color w:val="000000" w:themeColor="text1"/>
                                <w:w w:val="104"/>
                                <w:sz w:val="16"/>
                                <w:szCs w:val="16"/>
                                <w14:textFill>
                                  <w14:solidFill>
                                    <w14:schemeClr w14:val="tx1"/>
                                  </w14:solidFill>
                                </w14:textFill>
                              </w:rPr>
                            </w:pPr>
                            <w:r>
                              <w:rPr>
                                <w:color w:val="000000" w:themeColor="text1"/>
                                <w:w w:val="104"/>
                                <w:sz w:val="16"/>
                                <w:szCs w:val="16"/>
                                <w14:textFill>
                                  <w14:solidFill>
                                    <w14:schemeClr w14:val="tx1"/>
                                  </w14:solidFill>
                                </w14:textFill>
                              </w:rPr>
                              <w:sym w:font="Symbol" w:char="F0D3"/>
                            </w:r>
                            <w:r>
                              <w:rPr>
                                <w:color w:val="000000" w:themeColor="text1"/>
                                <w:w w:val="104"/>
                                <w:sz w:val="16"/>
                                <w:szCs w:val="16"/>
                                <w14:textFill>
                                  <w14:solidFill>
                                    <w14:schemeClr w14:val="tx1"/>
                                  </w14:solidFill>
                                </w14:textFill>
                              </w:rPr>
                              <w:t xml:space="preserve">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lang w:val="en-US"/>
                                <w14:textFill>
                                  <w14:solidFill>
                                    <w14:schemeClr w14:val="tx1"/>
                                  </w14:solidFill>
                                </w14:textFill>
                              </w:rPr>
                              <w:t xml:space="preserve"> BRIN</w:t>
                            </w:r>
                          </w:p>
                          <w:p w14:paraId="684DE2A7">
                            <w:pPr>
                              <w:widowControl w:val="0"/>
                              <w:autoSpaceDE w:val="0"/>
                              <w:autoSpaceDN w:val="0"/>
                              <w:adjustRightInd w:val="0"/>
                              <w:ind w:right="-28" w:firstLine="0"/>
                              <w:jc w:val="left"/>
                              <w:rPr>
                                <w:w w:val="104"/>
                                <w:sz w:val="16"/>
                                <w:szCs w:val="16"/>
                              </w:rPr>
                            </w:pPr>
                            <w:r>
                              <w:rPr>
                                <w:color w:val="FFFFFF"/>
                                <w:w w:val="104"/>
                                <w:sz w:val="16"/>
                                <w:szCs w:val="16"/>
                              </w:rPr>
                              <w:t>25-32</w:t>
                            </w:r>
                          </w:p>
                          <w:p w14:paraId="298E0D89"/>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2pt;margin-top:632.25pt;height:75.35pt;width:229.6pt;mso-position-vertical-relative:margin;mso-wrap-distance-bottom:0pt;mso-wrap-distance-left:9pt;mso-wrap-distance-right:9pt;mso-wrap-distance-top:0pt;z-index:-251654144;mso-width-relative:page;mso-height-relative:page;" filled="f" stroked="f" coordsize="21600,21600" o:gfxdata="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H9mWt2AAAAA0BAAAPAAAAAAAAAAEAIAAA&#10;ACIAAABkcnMvZG93bnJldi54bWxQSwECFAAUAAAACACHTuJAWXYf/AwCAAAkBAAADgAAAAAAAAAB&#10;ACAAAAAnAQAAZHJzL2Uyb0RvYy54bWxQSwUGAAAAAAYABgBZAQAApQUAAAAA&#10;">
                <v:fill on="f" focussize="0,0"/>
                <v:stroke on="f"/>
                <v:imagedata o:title=""/>
                <o:lock v:ext="edit" aspectratio="f"/>
                <v:textbox>
                  <w:txbxContent>
                    <w:p w14:paraId="11122F2A">
                      <w:pPr>
                        <w:widowControl w:val="0"/>
                        <w:pBdr>
                          <w:top w:val="single" w:color="auto" w:sz="6" w:space="1"/>
                        </w:pBdr>
                        <w:autoSpaceDE w:val="0"/>
                        <w:autoSpaceDN w:val="0"/>
                        <w:adjustRightInd w:val="0"/>
                        <w:ind w:right="-28" w:firstLine="0"/>
                        <w:jc w:val="left"/>
                        <w:rPr>
                          <w:i/>
                          <w:color w:val="auto"/>
                          <w:w w:val="104"/>
                          <w:sz w:val="16"/>
                          <w:szCs w:val="16"/>
                        </w:rPr>
                      </w:pPr>
                      <w:bookmarkStart w:id="0" w:name="_Hlk91702109"/>
                      <w:bookmarkEnd w:id="0"/>
                      <w:r>
                        <w:rPr>
                          <w:i/>
                          <w:color w:val="auto"/>
                          <w:w w:val="104"/>
                          <w:sz w:val="16"/>
                          <w:szCs w:val="16"/>
                        </w:rPr>
                        <w:t xml:space="preserve">* </w:t>
                      </w:r>
                      <w:r>
                        <w:rPr>
                          <w:color w:val="auto"/>
                          <w:w w:val="104"/>
                          <w:sz w:val="16"/>
                          <w:szCs w:val="16"/>
                        </w:rPr>
                        <w:t>Corresponding Author</w:t>
                      </w:r>
                      <w:r>
                        <w:rPr>
                          <w:i/>
                          <w:color w:val="auto"/>
                          <w:w w:val="104"/>
                          <w:sz w:val="16"/>
                          <w:szCs w:val="16"/>
                        </w:rPr>
                        <w:t xml:space="preserve">. </w:t>
                      </w:r>
                    </w:p>
                    <w:p w14:paraId="219587A1">
                      <w:pPr>
                        <w:pStyle w:val="42"/>
                        <w:jc w:val="left"/>
                        <w:rPr>
                          <w:i w:val="0"/>
                          <w:color w:val="auto"/>
                          <w:szCs w:val="16"/>
                          <w:lang w:val="en-US"/>
                        </w:rPr>
                      </w:pPr>
                      <w:r>
                        <w:rPr>
                          <w:i w:val="0"/>
                          <w:color w:val="auto"/>
                          <w:w w:val="104"/>
                          <w:szCs w:val="16"/>
                        </w:rPr>
                        <w:t xml:space="preserve">Email: </w:t>
                      </w:r>
                      <w:r>
                        <w:rPr>
                          <w:rFonts w:hint="default"/>
                          <w:i w:val="0"/>
                          <w:color w:val="auto"/>
                          <w:w w:val="104"/>
                          <w:szCs w:val="16"/>
                        </w:rPr>
                        <w:t>tole@te.uad.ac.id</w:t>
                      </w:r>
                      <w:r>
                        <w:rPr>
                          <w:i w:val="0"/>
                          <w:color w:val="auto"/>
                          <w:w w:val="104"/>
                          <w:szCs w:val="16"/>
                        </w:rPr>
                        <w:t xml:space="preserve">  </w:t>
                      </w:r>
                    </w:p>
                    <w:p w14:paraId="03FF5495">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Received:</w:t>
                      </w:r>
                      <w:r>
                        <w:rPr>
                          <w:rFonts w:hint="default"/>
                          <w:color w:val="000000" w:themeColor="text1"/>
                          <w:w w:val="104"/>
                          <w:sz w:val="16"/>
                          <w:szCs w:val="16"/>
                          <w:lang w:val="en-US"/>
                          <w14:textFill>
                            <w14:solidFill>
                              <w14:schemeClr w14:val="tx1"/>
                            </w14:solidFill>
                          </w14:textFill>
                        </w:rPr>
                        <w:t xml:space="preserve"> June 10</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rFonts w:hint="default"/>
                          <w:color w:val="000000" w:themeColor="text1"/>
                          <w:w w:val="104"/>
                          <w:sz w:val="16"/>
                          <w:szCs w:val="16"/>
                          <w:lang w:val="en-US"/>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w:t>
                      </w:r>
                      <w:r>
                        <w:rPr>
                          <w:color w:val="000000" w:themeColor="text1"/>
                          <w:w w:val="104"/>
                          <w:sz w:val="16"/>
                          <w:szCs w:val="16"/>
                          <w:lang w:val="en-US"/>
                          <w14:textFill>
                            <w14:solidFill>
                              <w14:schemeClr w14:val="tx1"/>
                            </w14:solidFill>
                          </w14:textFill>
                        </w:rPr>
                        <w:t xml:space="preserve"> </w:t>
                      </w:r>
                      <w:r>
                        <w:rPr>
                          <w:color w:val="000000" w:themeColor="text1"/>
                          <w:w w:val="104"/>
                          <w:sz w:val="16"/>
                          <w:szCs w:val="16"/>
                          <w14:textFill>
                            <w14:solidFill>
                              <w14:schemeClr w14:val="tx1"/>
                            </w14:solidFill>
                          </w14:textFill>
                        </w:rPr>
                        <w:t xml:space="preserve">Revised: </w:t>
                      </w:r>
                      <w:r>
                        <w:rPr>
                          <w:rFonts w:hint="default"/>
                          <w:color w:val="000000" w:themeColor="text1"/>
                          <w:w w:val="104"/>
                          <w:sz w:val="16"/>
                          <w:szCs w:val="16"/>
                          <w:lang w:val="en-US"/>
                          <w14:textFill>
                            <w14:solidFill>
                              <w14:schemeClr w14:val="tx1"/>
                            </w14:solidFill>
                          </w14:textFill>
                        </w:rPr>
                        <w:t>July 7</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p>
                    <w:p w14:paraId="77B083CB">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Accepted:</w:t>
                      </w:r>
                      <w:r>
                        <w:rPr>
                          <w:rFonts w:hint="default"/>
                          <w:color w:val="000000" w:themeColor="text1"/>
                          <w:w w:val="104"/>
                          <w:sz w:val="16"/>
                          <w:szCs w:val="16"/>
                          <w:lang w:val="en-US"/>
                          <w14:textFill>
                            <w14:solidFill>
                              <w14:schemeClr w14:val="tx1"/>
                            </w14:solidFill>
                          </w14:textFill>
                        </w:rPr>
                        <w:t xml:space="preserve"> Agustus 11</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 xml:space="preserve">; Published: </w:t>
                      </w:r>
                      <w:r>
                        <w:rPr>
                          <w:rFonts w:hint="default"/>
                          <w:color w:val="000000" w:themeColor="text1"/>
                          <w:w w:val="104"/>
                          <w:sz w:val="16"/>
                          <w:szCs w:val="16"/>
                          <w:lang w:val="en-US"/>
                          <w14:textFill>
                            <w14:solidFill>
                              <w14:schemeClr w14:val="tx1"/>
                            </w14:solidFill>
                          </w14:textFill>
                        </w:rPr>
                        <w:t xml:space="preserve">December </w:t>
                      </w:r>
                      <w:r>
                        <w:rPr>
                          <w:color w:val="000000" w:themeColor="text1"/>
                          <w:w w:val="104"/>
                          <w:sz w:val="16"/>
                          <w:szCs w:val="16"/>
                          <w14:textFill>
                            <w14:solidFill>
                              <w14:schemeClr w14:val="tx1"/>
                            </w14:solidFill>
                          </w14:textFill>
                        </w:rPr>
                        <w:t>31, 202</w:t>
                      </w:r>
                      <w:r>
                        <w:rPr>
                          <w:rFonts w:hint="default"/>
                          <w:color w:val="000000" w:themeColor="text1"/>
                          <w:w w:val="104"/>
                          <w:sz w:val="16"/>
                          <w:szCs w:val="16"/>
                          <w:lang w:val="en-US"/>
                          <w14:textFill>
                            <w14:solidFill>
                              <w14:schemeClr w14:val="tx1"/>
                            </w14:solidFill>
                          </w14:textFill>
                        </w:rPr>
                        <w:t>5</w:t>
                      </w:r>
                    </w:p>
                    <w:p w14:paraId="105766DB">
                      <w:pPr>
                        <w:widowControl w:val="0"/>
                        <w:tabs>
                          <w:tab w:val="left" w:pos="1985"/>
                        </w:tabs>
                        <w:autoSpaceDE w:val="0"/>
                        <w:autoSpaceDN w:val="0"/>
                        <w:adjustRightInd w:val="0"/>
                        <w:ind w:right="-28" w:firstLine="0"/>
                        <w:rPr>
                          <w:rFonts w:eastAsia="Calibri"/>
                          <w:color w:val="000000" w:themeColor="text1"/>
                          <w:sz w:val="16"/>
                          <w:szCs w:val="16"/>
                          <w:lang w:val="en-US"/>
                          <w14:textFill>
                            <w14:solidFill>
                              <w14:schemeClr w14:val="tx1"/>
                            </w14:solidFill>
                          </w14:textFill>
                        </w:rPr>
                      </w:pPr>
                    </w:p>
                    <w:p w14:paraId="3F7C198F">
                      <w:pPr>
                        <w:widowControl w:val="0"/>
                        <w:tabs>
                          <w:tab w:val="left" w:pos="1985"/>
                        </w:tabs>
                        <w:autoSpaceDE w:val="0"/>
                        <w:autoSpaceDN w:val="0"/>
                        <w:adjustRightInd w:val="0"/>
                        <w:ind w:right="-28" w:firstLine="0"/>
                        <w:rPr>
                          <w:rFonts w:eastAsia="Calibri"/>
                          <w:color w:val="000000" w:themeColor="text1"/>
                          <w:sz w:val="16"/>
                          <w:szCs w:val="16"/>
                          <w14:textFill>
                            <w14:solidFill>
                              <w14:schemeClr w14:val="tx1"/>
                            </w14:solidFill>
                          </w14:textFill>
                        </w:rPr>
                      </w:pPr>
                      <w:r>
                        <w:rPr>
                          <w:rFonts w:eastAsia="Calibri"/>
                          <w:color w:val="000000" w:themeColor="text1"/>
                          <w:sz w:val="16"/>
                          <w:szCs w:val="16"/>
                          <w:lang w:val="en-US"/>
                          <w14:textFill>
                            <w14:solidFill>
                              <w14:schemeClr w14:val="tx1"/>
                            </w14:solidFill>
                          </w14:textFill>
                        </w:rPr>
                        <w:t>Open access under CC-BY-NC-SA</w:t>
                      </w:r>
                    </w:p>
                    <w:p w14:paraId="4F25ED5A">
                      <w:pPr>
                        <w:widowControl w:val="0"/>
                        <w:tabs>
                          <w:tab w:val="left" w:pos="1985"/>
                        </w:tabs>
                        <w:autoSpaceDE w:val="0"/>
                        <w:autoSpaceDN w:val="0"/>
                        <w:adjustRightInd w:val="0"/>
                        <w:ind w:right="-28" w:firstLine="0"/>
                        <w:rPr>
                          <w:color w:val="000000" w:themeColor="text1"/>
                          <w:w w:val="104"/>
                          <w:sz w:val="16"/>
                          <w:szCs w:val="16"/>
                          <w14:textFill>
                            <w14:solidFill>
                              <w14:schemeClr w14:val="tx1"/>
                            </w14:solidFill>
                          </w14:textFill>
                        </w:rPr>
                      </w:pPr>
                      <w:r>
                        <w:rPr>
                          <w:color w:val="000000" w:themeColor="text1"/>
                          <w:w w:val="104"/>
                          <w:sz w:val="16"/>
                          <w:szCs w:val="16"/>
                          <w14:textFill>
                            <w14:solidFill>
                              <w14:schemeClr w14:val="tx1"/>
                            </w14:solidFill>
                          </w14:textFill>
                        </w:rPr>
                        <w:sym w:font="Symbol" w:char="F0D3"/>
                      </w:r>
                      <w:r>
                        <w:rPr>
                          <w:color w:val="000000" w:themeColor="text1"/>
                          <w:w w:val="104"/>
                          <w:sz w:val="16"/>
                          <w:szCs w:val="16"/>
                          <w14:textFill>
                            <w14:solidFill>
                              <w14:schemeClr w14:val="tx1"/>
                            </w14:solidFill>
                          </w14:textFill>
                        </w:rPr>
                        <w:t xml:space="preserve">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lang w:val="en-US"/>
                          <w14:textFill>
                            <w14:solidFill>
                              <w14:schemeClr w14:val="tx1"/>
                            </w14:solidFill>
                          </w14:textFill>
                        </w:rPr>
                        <w:t xml:space="preserve"> BRIN</w:t>
                      </w:r>
                    </w:p>
                    <w:p w14:paraId="684DE2A7">
                      <w:pPr>
                        <w:widowControl w:val="0"/>
                        <w:autoSpaceDE w:val="0"/>
                        <w:autoSpaceDN w:val="0"/>
                        <w:adjustRightInd w:val="0"/>
                        <w:ind w:right="-28" w:firstLine="0"/>
                        <w:jc w:val="left"/>
                        <w:rPr>
                          <w:w w:val="104"/>
                          <w:sz w:val="16"/>
                          <w:szCs w:val="16"/>
                        </w:rPr>
                      </w:pPr>
                      <w:r>
                        <w:rPr>
                          <w:color w:val="FFFFFF"/>
                          <w:w w:val="104"/>
                          <w:sz w:val="16"/>
                          <w:szCs w:val="16"/>
                        </w:rPr>
                        <w:t>25-32</w:t>
                      </w:r>
                    </w:p>
                    <w:p w14:paraId="298E0D89"/>
                  </w:txbxContent>
                </v:textbox>
                <w10:wrap type="square"/>
              </v:shape>
            </w:pict>
          </mc:Fallback>
        </mc:AlternateContent>
      </w:r>
      <w:r>
        <w:rPr>
          <w:color w:val="000000" w:themeColor="text1"/>
          <w:lang w:val="en-US"/>
          <w14:textFill>
            <w14:solidFill>
              <w14:schemeClr w14:val="tx1"/>
            </w14:solidFill>
          </w14:textFill>
        </w:rPr>
        <w:t xml:space="preserve">Traditional charging methods, while effective, often suffer from inefficiencies that can lead to battery degradation, increased internal resistance, overheating, and safety risks. These issues are particularly critical in EV applications, where reducing charging time without compromising battery health is essential for widespread adoption. Fast charging techniques, such as the CCCV method, provide a structured approach to optimize the charging process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{"citationItems":[{"id":"ITEM-1","itemData":{"DOI":"10.1016/j.est.2022.104679","ISSN":"2352152X","abstract":"Lithium-ion batteries play an important role in the application scenarios of electric vehicles and renewable energy systems. However, it is difficult to charge these batteries safely and quickly. Charging lithium-ion batteries has been the bottleneck problem affecting the large-scale application of electric vehicles. To find a balance between safety and speed, this study proposes a multistage fast charging protocol utilizing the biogeography-based optimization (BBO) algorithm. The optimization function of the charging time and the temperature rise of lithium-ion batteries are established through the thermoelectric coupling model of lumped parameters. In the example of a five-stage charging protocol, the Pareto front is obtained using the BBO algorithm and is composed of the optimal solutions of the two objectives under different weights. Subsequently, the optimal solution that minimizes the global optimization function is obtained. Compared with the multistage constant current charging protocol, the results show that the BBO charging optimization protocol shortens the battery charging time by 19.13% whereas the maximum temperature increase remains nearly identical.","author":[{"dropping-particle":"","family":"Wu","given":"Xiaogang","non-dropping-particle":"","parse-names":false,"suffix":""},{"dropping-particle":"","family":"Zhang","given":"Kun","non-dropping-particle":"","parse-names":false,"suffix":""},{"dropping-particle":"","family":"Chen","given":"Yu","non-dropping-particle":"","parse-names":false,"suffix":""},{"dropping-particle":"","family":"Du","given":"Jiuyu","non-dropping-particle":"","parse-names":false,"suffix":""},{"dropping-particle":"","family":"Shchurov","given":"N. I.","non-dropping-particle":"","parse-names":false,"suffix":""}],"container-title":"Journal of Energy Storage","id":"ITEM-1","issue":"PA","issued":{"date-parts":[["2022"]]},"page":"104679","publisher":"Elsevier Ltd","title":"Multistage fast charging optimization protocol for lithium-ion batteries based on the biogeography-based algorithm","type":"article-journal","volume":"52"},"uris":["http://www.mendeley.com/documents/?uuid=a215e4e0-c574-4d6e-b151-6a9b3c10a4f4"]},{"id":"ITEM-2","itemData":{"DOI":"10.1016/j.est.2023.109695","ISSN":"2352152X","abstract":"The growing electric vehicle market has made extreme fast charging (XFC) a critical challenge for the lithium-ion battery community. With a goal of achieving a 15-minute recharge time or less, the research community has developed several protocols for fast charging, relying on accurate electrochemical models and mathematical optimization algorithms. However, the effectiveness of such techniques is severely limited by their high computational costs as well as the uncertainty and complexity of the mathematical algorithms used. To address these limitations, this paper proposes a model-free multistage constant current technique based on deep reinforcement learning (DRL) while ensuring battery safety and reducing the battery degradation rate with the multi-stage charging profile. The proposed technique uses a Proximal Policy Optimization (PPO) algorithm to train the DRL agent to learn a reliable control policy through interaction with the battery, aided by a comprehensive reward function. The proposed model is validated through a comparison with a 6CC-CV profile for fast charging. Furthermore, the robustness of the proposed DRL model against different electrode thicknesses and porosity is also evaluated. Simulation results demonstrate that the proposed DRL framework can charge the battery in 14 min for the thickest cathode and 6 min for the thinnest cathode while maintaining battery safety.","author":[{"dropping-particle":"El","family":"Ouazzani","given":"Hind","non-dropping-particle":"","parse-names":false,"suffix":""},{"dropping-particle":"El","family":"Hassani","given":"Ibtissam","non-dropping-particle":"","parse-names":false,"suffix":""},{"dropping-particle":"","family":"Barka","given":"Noureddine","non-dropping-particle":"","parse-names":false,"suffix":""},{"dropping-particle":"","family":"Masrour","given":"Tawfik","non-dropping-particle":"","parse-names":false,"suffix":""}],"container-title":"Journal of Energy Storage","id":"ITEM-2","issue":"May 2023","issued":{"date-parts":[["2024"]]},"page":"109695","publisher":"Elsevier Ltd","title":"MSCC-DRL: Multi-Stage constant current based on deep reinforcement learning for fast charging of lithium ion battery","type":"article-journal","volume":"75"},"uris":["http://www.mendeley.com/documents/?uuid=53f49599-5a02-44d5-b966-d3b7aee3ba64"]},{"id":"ITEM-3","itemData":{"DOI":"10.1016/j.apenergy.2024.123631","ISSN":"03062619","abstract":"Lithium plating during the fast charging process significantly decreases the health and safety of lithium-ion batteries (LIBs). Hence, detecting the onset of lithium plating is essential to realize the highly effective and low-damage fast charging. However, an online lithium plating onset detection method that can be used in constant current (CC) and multiage constant current (MCC) fast charging under different working conditions without interrupting the charging process of LIBs has not been reported yet. To fill this gap, a novel method based on dynamic impedance measurement has been proposed. The abnormal drop of dynamic impedance at 1 Hz during the charging processes was treated as a universal feature of lithium plating onset. A method based on real-time impedance feedback and a long short-term memory (LSTM) was first proposed to identify this feature. It was validated in various CC and MCC charging rates at different temperatures and battery types. With the cross-validation of the voltage relaxation method, an error of &lt;2.5% SOC in detecting the lithium plating onset was achieved. Besides, the proposed method effectively optimizes the misidentification and the time delay in detection. For practical applications, the method's accuracy and robustness were additionally validated in a rapid prototyping system. The method proposed in this paper solves the complex problem of lithium plating detection during the CC and MCC charging procedures, which is essential for improving the health and safety of LIBs under fast charging conditions.","author":[{"dropping-particle":"","family":"Shen","given":"Yudong","non-dropping-particle":"","parse-names":false,"suffix":""},{"dropping-particle":"","family":"Wang","given":"Xueyuan","non-dropping-particle":"","parse-names":false,"suffix":""},{"dropping-particle":"","family":"Jiang","given":"Zhao","non-dropping-particle":"","parse-names":false,"suffix":""},{"dropping-particle":"","family":"Luo","given":"Bingyin","non-dropping-particle":"","parse-names":false,"suffix":""},{"dropping-particle":"","family":"Chen","given":"Daidai","non-dropping-particle":"","parse-names":false,"suffix":""},{"dropping-particle":"","family":"Wei","given":"Xuezhe","non-dropping-particle":"","parse-names":false,"suffix":""},{"dropping-particle":"","family":"Dai","given":"Haifeng","non-dropping-particle":"","parse-names":false,"suffix":""}],"container-title":"Applied Energy","id":"ITEM-3","issue":"March","issued":{"date-parts":[["2024"]]},"page":"123631","publisher":"Elsevier Ltd","title":"Online detection of lithium plating onset during constant and multistage constant current fast charging for lithium-ion batteries","type":"article-journal","volume":"370"},"uris":["http://www.mendeley.com/documents/?uuid=800ae0fb-ed69-4dec-ab24-5f3df9a2e5a0"]},{"id":"ITEM-4","itemData":{"author":[{"dropping-particle":"","family":"Kaleem","given":"Ayesha","non-dropping-particle":"","parse-names":false,"suffix":""},{"dropping-particle":"","family":"Khalil","given":"Ihsan Ullah","non-dropping-particle":"","parse-names":false,"suffix":""},{"dropping-particle":"","family":"Aslam","given":"Sara","non-dropping-particle":"","parse-names":false,"suffix":""},{"dropping-particle":"","family":"Ullah","given":"Nasim","non-dropping-particle":"","parse-names":false,"suffix":""},{"dropping-particle":"Al","family":"Otaibi","given":"Sattam","non-dropping-particle":"","parse-names":false,"suffix":""}],"id":"ITEM-4","issued":{"date-parts":[["2021"]]},"title":"Feedback PID Controller-Based Closed-Loop Fast Charging of Lithium-Ion Batteries Using","type":"article-journal"},"uris":["http://www.mendeley.com/documents/?uuid=bd68a890-a64c-491e-a494-d1d836e11d3a"]}],"mendeley":{"formattedCitation":"[5]–[8]","plainTextFormattedCitation":"[5]–[8]","previouslyFormattedCitation":"[5]–[8]"},"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[5]–[8]</w:t>
      </w:r>
      <w:r>
        <w:rPr>
          <w:color w:val="000000" w:themeColor="text1"/>
          <w:lang w:val="en-US"/>
          <w14:textFill>
            <w14:solidFill>
              <w14:schemeClr w14:val="tx1"/>
            </w14:solidFill>
          </w14:textFill>
        </w:rPr>
        <w:fldChar w:fldCharType="end"/>
      </w:r>
      <w:r>
        <w:rPr>
          <w:color w:val="000000" w:themeColor="text1"/>
          <w:lang w:val="en-US"/>
          <w14:textFill>
            <w14:solidFill>
              <w14:schemeClr w14:val="tx1"/>
            </w14:solidFill>
          </w14:textFill>
        </w:rPr>
        <w:t>. However, the implementation of additional control mechanisms, such as PID controllers, is necessary to enhance efficiency, regulate thermal conditions, and prevent adverse effects such as overcharging and thermal runaway</w:t>
      </w:r>
    </w:p>
    <w:p w14:paraId="2F295A3A">
      <w:pPr>
        <w:keepNext w:val="0"/>
        <w:keepLines w:val="0"/>
        <w:pageBreakBefore w:val="0"/>
        <w:kinsoku/>
        <w:wordWrap/>
        <w:overflowPunct/>
        <w:topLinePunct w:val="0"/>
        <w:bidi w:val="0"/>
        <w:adjustRightInd/>
        <w:snapToGrid/>
        <w:ind w:firstLine="357"/>
        <w:textAlignment w:val="auto"/>
        <w:rPr>
          <w:color w:val="000000" w:themeColor="text1"/>
          <w:lang w:val="en-US"/>
          <w14:textFill>
            <w14:solidFill>
              <w14:schemeClr w14:val="tx1"/>
            </w14:solidFill>
          </w14:textFill>
        </w:rPr>
      </w:pPr>
      <w:r>
        <w:rPr>
          <w:color w:val="000000" w:themeColor="text1"/>
          <w:lang w:val="en-US"/>
          <w14:textFill>
            <w14:solidFill>
              <w14:schemeClr w14:val="tx1"/>
            </w14:solidFill>
          </w14:textFill>
        </w:rPr>
        <w:t xml:space="preserve">The primary challenge in fast charging LIBs is balancing speed and safety while minimizing adverse effects such as overcharging, thermal runaway, and capacity degradation. The conventional CCCV charging method provides a structured approach, but additional control mechanisms are required to optimize performance and ensure stability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DOI":"10.1109/ACCESS.2024.3486989","author":[{"dropping-particle":"","family":"Haraz","given":"Aya","non-dropping-particle":"","parse-names":false,"suffix":""},{"dropping-particle":"","family":"Abualsaud","given":"Khalid","non-dropping-particle":"","parse-names":false,"suffix":""},{"dropping-particle":"","family":"Massoud","given":"Ahmed","non-dropping-particle":"","parse-names":false,"suffix":""}],"container-title":"IEEE Access","id":"ITEM-1","issue":"September","issued":{"date-parts":[["2024"]]},"page":"158110-158139","publisher":"IEEE","title":"State-of-Health and State-of-Charge Estimation in Electric Vehicles Batteries : A Survey on Machine Learning Approaches","type":"article-journal","volume":"12"},"uris":["http://www.mendeley.com/documents/?uuid=258bd609-c970-4c4b-9779-fd028d834d8b"]},{"id":"ITEM-2","itemData":{"DOI":"10.1016/j.renene.2019.08.077","ISSN":"0960-1481","author":[{"dropping-particle":"","family":"Li","given":"Yunjian","non-dropping-particle":"","parse-names":false,"suffix":""},{"dropping-particle":"","family":"Li","given":"Kuining","non-dropping-particle":"","parse-names":false,"suffix":""},{"dropping-particle":"","family":"Xie","given":"Yi","non-dropping-particle":"","parse-names":false,"suffix":""},{"dropping-particle":"","family":"Liu","given":"Jiangyan","non-dropping-particle":"","parse-names":false,"suffix":""},{"dropping-particle":"","family":"Fu","given":"Chunyun","non-dropping-particle":"","parse-names":false,"suffix":""},{"dropping-particle":"","family":"Liu","given":"Bin","non-dropping-particle":"","parse-names":false,"suffix":""}],"container-title":"Renewable Energy","id":"ITEM-2","issued":{"date-parts":[["2020"]]},"page":"2688-2699","publisher":"Elsevier Ltd","title":"Optimized charging of lithium-ion battery for electric vehicles : Adaptive multistage constant current e constant voltage charging strategy","type":"article-journal","volume":"146"},"uris":["http://www.mendeley.com/documents/?uuid=6f1f3ab7-ecde-4916-a75f-62d6381779fe"]},{"id":"ITEM-3","itemData":{"DOI":"10.1016/j.est.2022.104679","ISSN":"2352152X","abstract":"Lithium-ion batteries play an important role in the application scenarios of electric vehicles and renewable energy systems. However, it is difficult to charge these batteries safely and quickly. Charging lithium-ion batteries has been the bottleneck problem affecting the large-scale application of electric vehicles. To find a balance between safety and speed, this study proposes a multistage fast charging protocol utilizing the biogeography-based optimization (BBO) algorithm. The optimization function of the charging time and the temperature rise of lithium-ion batteries are established through the thermoelectric coupling model of lumped parameters. In the example of a five-stage charging protocol, the Pareto front is obtained using the BBO algorithm and is composed of the optimal solutions of the two objectives under different weights. Subsequently, the optimal solution that minimizes the global optimization function is obtained. Compared with the multistage constant current charging protocol, the results show that the BBO charging optimization protocol shortens the battery charging time by 19.13% whereas the maximum temperature increase remains nearly identical.","author":[{"dropping-particle":"","family":"Wu","given":"Xiaogang","non-dropping-particle":"","parse-names":false,"suffix":""},{"dropping-particle":"","family":"Zhang","given":"Kun","non-dropping-particle":"","parse-names":false,"suffix":""},{"dropping-particle":"","family":"Chen","given":"Yu","non-dropping-particle":"","parse-names":false,"suffix":""},{"dropping-particle":"","family":"Du","given":"Jiuyu","non-dropping-particle":"","parse-names":false,"suffix":""},{"dropping-particle":"","family":"Shchurov","given":"N. I.","non-dropping-particle":"","parse-names":false,"suffix":""}],"container-title":"Journal of Energy Storage","id":"ITEM-3","issue":"PA","issued":{"date-parts":[["2022"]]},"page":"104679","publisher":"Elsevier Ltd","title":"Multistage fast charging optimization protocol for lithium-ion batteries based on the biogeography-based algorithm","type":"article-journal","volume":"52"},"uris":["http://www.mendeley.com/documents/?uuid=a215e4e0-c574-4d6e-b151-6a9b3c10a4f4"]}],"mendeley":{"formattedCitation":"[5], [9], [10]","plainTextFormattedCitation":"[5], [9], [10]","previouslyFormattedCitation":"[5], [9], [10]"},"properties":{"noteIndex":0},"schema":"https://github.com/citation-style-language/schema/raw/master/csl-citation.json"}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[5], [9], [10]</w:t>
      </w:r>
      <w:r>
        <w:rPr>
          <w:color w:val="000000" w:themeColor="text1"/>
          <w:lang w:val="en-US"/>
          <w14:textFill>
            <w14:solidFill>
              <w14:schemeClr w14:val="tx1"/>
            </w14:solidFill>
          </w14:textFill>
        </w:rPr>
        <w:fldChar w:fldCharType="end"/>
      </w:r>
      <w:r>
        <w:rPr>
          <w:color w:val="000000" w:themeColor="text1"/>
          <w:lang w:val="en-US"/>
          <w14:textFill>
            <w14:solidFill>
              <w14:schemeClr w14:val="tx1"/>
            </w14:solidFill>
          </w14:textFill>
        </w:rPr>
        <w:t xml:space="preserve">. The conventional CCCV charging method provides a structured approach by initially applying a constant current until a predefined voltage is reached, followed by a constant voltage phase where the current gradually decreases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{"citationItems":[{"id":"ITEM-1","itemData":{"DOI":"10.1109/ACCESS.2024.3425950","author":[{"dropping-particle":"","family":"Yang","given":"Guangyi","non-dropping-particle":"","parse-names":false,"suffix":""}],"container-title":"IEEE Access","id":"ITEM-1","issue":"July","issued":{"date-parts":[["2024"]]},"page":"95831-95845","publisher":"IEEE","title":"State of Charge Estimation of Lithium-Ion Battery for Underwater Vehicles Using MM-UKF Under Hierarchical Temperature Compensation","type":"article-journal","volume":"12"},"uris":["http://www.mendeley.com/documents/?uuid=811df794-79dd-488b-8314-520cdb82b85f"]}],"mendeley":{"formattedCitation":"[11]","plainTextFormattedCitation":"[11]","previouslyFormattedCitation":"[11]"},"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[11]</w:t>
      </w:r>
      <w:r>
        <w:rPr>
          <w:color w:val="000000" w:themeColor="text1"/>
          <w:lang w:val="en-US"/>
          <w14:textFill>
            <w14:solidFill>
              <w14:schemeClr w14:val="tx1"/>
            </w14:solidFill>
          </w14:textFill>
        </w:rPr>
        <w:fldChar w:fldCharType="end"/>
      </w:r>
      <w:r>
        <w:rPr>
          <w:color w:val="000000" w:themeColor="text1"/>
          <w:lang w:val="en-US"/>
          <w14:textFill>
            <w14:solidFill>
              <w14:schemeClr w14:val="tx1"/>
            </w14:solidFill>
          </w14:textFill>
        </w:rPr>
        <w:t>. However, without proper feedback control, this method may not optimize efficiency and battery longevity. Additional control mechanisms, such as a PID controller, are required to dynamically adjust charging parameters based on real-time battery conditions, ensuring stability and optimal performance.</w:t>
      </w:r>
    </w:p>
    <w:p w14:paraId="46F4D284">
      <w:pPr>
        <w:keepNext w:val="0"/>
        <w:keepLines w:val="0"/>
        <w:pageBreakBefore w:val="0"/>
        <w:kinsoku/>
        <w:wordWrap/>
        <w:overflowPunct/>
        <w:topLinePunct w:val="0"/>
        <w:bidi w:val="0"/>
        <w:adjustRightInd/>
        <w:snapToGrid/>
        <w:ind w:firstLine="357"/>
        <w:textAlignment w:val="auto"/>
        <w:rPr>
          <w:color w:val="000000" w:themeColor="text1"/>
          <w:lang w:val="en-US"/>
          <w14:textFill>
            <w14:solidFill>
              <w14:schemeClr w14:val="tx1"/>
            </w14:solidFill>
          </w14:textFill>
        </w:rPr>
      </w:pPr>
      <w:r>
        <w:rPr>
          <w:color w:val="000000" w:themeColor="text1"/>
          <w:lang w:val="en-US"/>
          <w14:textFill>
            <w14:solidFill>
              <w14:schemeClr w14:val="tx1"/>
            </w14:solidFill>
          </w14:textFill>
        </w:rPr>
        <w:t xml:space="preserve">Several recent studies have focused on improving lithium-ion battery charging using control-based strategies. PID controllers, in particular, have shown potential in achieving fast and safe charging through feedback mechanisms. For instance, Kaleem et al.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{"citationItems":[{"id":"ITEM-1","itemData":{"author":[{"dropping-particle":"","family":"Kaleem","given":"Ayesha","non-dropping-particle":"","parse-names":false,"suffix":""},{"dropping-particle":"","family":"Khalil","given":"Ihsan Ullah","non-dropping-particle":"","parse-names":false,"suffix":""},{"dropping-particle":"","family":"Aslam","given":"Sara","non-dropping-particle":"","parse-names":false,"suffix":""},{"dropping-particle":"","family":"Ullah","given":"Nasim","non-dropping-particle":"","parse-names":false,"suffix":""},{"dropping-particle":"Al","family":"Otaibi","given":"Sattam","non-dropping-particle":"","parse-names":false,"suffix":""}],"id":"ITEM-1","issued":{"date-parts":[["2021"]]},"title":"Feedback PID Controller-Based Closed-Loop Fast Charging of Lithium-Ion Batteries Using","type":"article-journal"},"uris":["http://www.mendeley.com/documents/?uuid=bd68a890-a64c-491e-a494-d1d836e11d3a"]}],"mendeley":{"formattedCitation":"[8]","plainTextFormattedCitation":"[8]","previouslyFormattedCitation":"[8]"},"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[8]</w:t>
      </w:r>
      <w:r>
        <w:rPr>
          <w:color w:val="000000" w:themeColor="text1"/>
          <w:lang w:val="en-US"/>
          <w14:textFill>
            <w14:solidFill>
              <w14:schemeClr w14:val="tx1"/>
            </w14:solidFill>
          </w14:textFill>
        </w:rPr>
        <w:fldChar w:fldCharType="end"/>
      </w:r>
      <w:r>
        <w:rPr>
          <w:color w:val="000000" w:themeColor="text1"/>
          <w:lang w:val="en-US"/>
          <w14:textFill>
            <w14:solidFill>
              <w14:schemeClr w14:val="tx1"/>
            </w14:solidFill>
          </w14:textFill>
        </w:rPr>
        <w:t xml:space="preserve"> developed a closed-loop PID-controlled fast charger and demonstrated improvements in current regulation. Wang et al.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ISSN":"2199-4536","author":[{"dropping-particle":"","family":"Wang","given":"Xiuzhuo","non-dropping-particle":"","parse-names":false,"suffix":""},{"dropping-particle":"","family":"Tang","given":"Yanfeng","non-dropping-particle":"","parse-names":false,"suffix":""},{"dropping-particle":"","family":"Li","given":"Zeyao","non-dropping-particle":"","parse-names":false,"suffix":""},{"dropping-particle":"","family":"Xu","given":"Chunsheng","non-dropping-particle":"","parse-names":false,"suffix":""}],"container-title":"Complex &amp; Intelligent Systems","id":"ITEM-1","issue":"5","issued":{"date-parts":[["2024"]]},"page":"6421-6433","publisher":"Springer","title":"Research on charging strategy based on improved particle swarm optimization PID algorithm","type":"article-journal","volume":"10"},"uris":["http://www.mendeley.com/documents/?uuid=4f6f60cf-7b0f-45d6-ab94-8a951f4cfbb0"]}],"mendeley":{"formattedCitation":"[12]","plainTextFormattedCitation":"[12]","previouslyFormattedCitation":"[12]"},"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[12]</w:t>
      </w:r>
      <w:r>
        <w:rPr>
          <w:color w:val="000000" w:themeColor="text1"/>
          <w:lang w:val="en-US"/>
          <w14:textFill>
            <w14:solidFill>
              <w14:schemeClr w14:val="tx1"/>
            </w14:solidFill>
          </w14:textFill>
        </w:rPr>
        <w:fldChar w:fldCharType="end"/>
      </w:r>
      <w:r>
        <w:rPr>
          <w:color w:val="000000" w:themeColor="text1"/>
          <w:lang w:val="en-US"/>
          <w14:textFill>
            <w14:solidFill>
              <w14:schemeClr w14:val="tx1"/>
            </w14:solidFill>
          </w14:textFill>
        </w:rPr>
        <w:t xml:space="preserve"> implemented an optimization-enhanced PID approach using particle swarm optimization (PSO) for lithium-ion batteries, achieving better response and efficiency. In addition, relevant research from the Journal of Electronics and Telecommunications supports the integration of PID and embedded control systems in battery applications. For example, Rospawan and Simatupang [13] developed a microcontroller-based battery balancing system for electric vehicles, while Irawan et al. [14] implemented a smart power bank with battery monitoring and protection. These studies highlight the importance of intelligent control and real-time feedback, which underpin the proposed PID-based fast charging method in this work. </w:t>
      </w:r>
    </w:p>
    <w:p w14:paraId="485CEFD4">
      <w:pPr>
        <w:rPr>
          <w:color w:val="000000" w:themeColor="text1"/>
          <w:lang w:val="en-US"/>
          <w14:textFill>
            <w14:solidFill>
              <w14:schemeClr w14:val="tx1"/>
            </w14:solidFill>
          </w14:textFill>
        </w:rPr>
      </w:pPr>
      <w:r>
        <w:rPr>
          <w:color w:val="000000" w:themeColor="text1"/>
          <w:lang w:val="en-US"/>
          <w14:textFill>
            <w14:solidFill>
              <w14:schemeClr w14:val="tx1"/>
            </w14:solidFill>
          </w14:textFill>
        </w:rPr>
        <w:t>This paper aims to develop a PID controller-based closed-loop fast charging system using the CCCV method to: improve charging efficiency while maintaining battery safety; Regulate temperature and voltage fluctuations during the charging process; Minimize capacity loss and extend battery lifespan. The key contributions of this research include: Design and implementation of a closed-loop PID controller for CCCV-based charging; Analysis of current and voltage regulation under different charging conditions; Experimental validation of the proposed system against conventional charging methods.</w:t>
      </w:r>
    </w:p>
    <w:p w14:paraId="58F8F9A6">
      <w:pPr>
        <w:pStyle w:val="2"/>
        <w:rPr>
          <w:color w:val="000000" w:themeColor="text1"/>
          <w14:textFill>
            <w14:solidFill>
              <w14:schemeClr w14:val="tx1"/>
            </w14:solidFill>
          </w14:textFill>
        </w:rPr>
      </w:pPr>
      <w:r>
        <w:rPr>
          <w:color w:val="000000" w:themeColor="text1"/>
          <w14:textFill>
            <w14:solidFill>
              <w14:schemeClr w14:val="tx1"/>
            </w14:solidFill>
          </w14:textFill>
        </w:rPr>
        <w:t>LITERATURE REVIEW</w:t>
      </w:r>
      <w:r>
        <w:rPr>
          <w:color w:val="000000" w:themeColor="text1"/>
          <w:lang w:val="en-US"/>
          <w14:textFill>
            <w14:solidFill>
              <w14:schemeClr w14:val="tx1"/>
            </w14:solidFill>
          </w14:textFill>
        </w:rPr>
        <w:t xml:space="preserve"> </w:t>
      </w:r>
    </w:p>
    <w:p w14:paraId="06E0EB85">
      <w:pPr>
        <w:pStyle w:val="3"/>
        <w:rPr>
          <w:color w:val="000000" w:themeColor="text1"/>
          <w14:textFill>
            <w14:solidFill>
              <w14:schemeClr w14:val="tx1"/>
            </w14:solidFill>
          </w14:textFill>
        </w:rPr>
      </w:pPr>
      <w:r>
        <w:rPr>
          <w:color w:val="000000" w:themeColor="text1"/>
          <w14:textFill>
            <w14:solidFill>
              <w14:schemeClr w14:val="tx1"/>
            </w14:solidFill>
          </w14:textFill>
        </w:rPr>
        <w:t>Lithium-Ion Battery Charging Methods</w:t>
      </w:r>
      <w:r>
        <w:rPr>
          <w:color w:val="000000" w:themeColor="text1"/>
          <w:lang w:val="en-US"/>
          <w14:textFill>
            <w14:solidFill>
              <w14:schemeClr w14:val="tx1"/>
            </w14:solidFill>
          </w14:textFill>
        </w:rPr>
        <w:t xml:space="preserve"> </w:t>
      </w:r>
    </w:p>
    <w:p w14:paraId="55BF6B33">
      <w:pPr>
        <w:rPr>
          <w:color w:val="000000" w:themeColor="text1"/>
          <w:lang w:val="en-US"/>
          <w14:textFill>
            <w14:solidFill>
              <w14:schemeClr w14:val="tx1"/>
            </w14:solidFill>
          </w14:textFill>
        </w:rPr>
      </w:pPr>
      <w:r>
        <w:rPr>
          <w:color w:val="000000" w:themeColor="text1"/>
          <w:sz w:val="20"/>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3061970</wp:posOffset>
                </wp:positionH>
                <wp:positionV relativeFrom="paragraph">
                  <wp:posOffset>-3926205</wp:posOffset>
                </wp:positionV>
                <wp:extent cx="2903855" cy="2175510"/>
                <wp:effectExtent l="0" t="0" r="0" b="0"/>
                <wp:wrapTopAndBottom/>
                <wp:docPr id="8" name="Rectangles 8"/>
                <wp:cNvGraphicFramePr/>
                <a:graphic xmlns:a="http://schemas.openxmlformats.org/drawingml/2006/main">
                  <a:graphicData uri="http://schemas.microsoft.com/office/word/2010/wordprocessingShape">
                    <wps:wsp>
                      <wps:cNvSpPr/>
                      <wps:spPr>
                        <a:xfrm>
                          <a:off x="3962400" y="811530"/>
                          <a:ext cx="2903855" cy="2175510"/>
                        </a:xfrm>
                        <a:prstGeom prst="rect">
                          <a:avLst/>
                        </a:prstGeom>
                        <a:noFill/>
                        <a:ln>
                          <a:noFill/>
                        </a:ln>
                        <a:extLst>
                          <a:ext uri="{909E8E84-426E-40DD-AFC4-6F175D3DCCD1}">
                            <a14:hiddenFill xmlns:a14="http://schemas.microsoft.com/office/drawing/2010/main">
                              <a:solidFill>
                                <a:schemeClr val="accent1"/>
                              </a:solidFill>
                            </a14:hiddenFill>
                          </a:ext>
                        </a:extLst>
                      </wps:spPr>
                      <wps:style>
                        <a:lnRef idx="2">
                          <a:schemeClr val="accent1">
                            <a:lumMod val="75000"/>
                          </a:schemeClr>
                        </a:lnRef>
                        <a:fillRef idx="1">
                          <a:schemeClr val="accent1"/>
                        </a:fillRef>
                        <a:effectRef idx="0">
                          <a:srgbClr val="FFFFFF"/>
                        </a:effectRef>
                        <a:fontRef idx="minor">
                          <a:schemeClr val="lt1"/>
                        </a:fontRef>
                      </wps:style>
                      <wps:txbx>
                        <w:txbxContent>
                          <w:p w14:paraId="5AC386A9">
                            <w:pPr>
                              <w:ind w:firstLine="0"/>
                              <w:jc w:val="center"/>
                              <w:rPr>
                                <w:color w:val="000000" w:themeColor="text1"/>
                                <w:sz w:val="18"/>
                                <w:szCs w:val="18"/>
                                <w:lang w:val="en-US"/>
                                <w14:textFill>
                                  <w14:solidFill>
                                    <w14:schemeClr w14:val="tx1"/>
                                  </w14:solidFill>
                                </w14:textFill>
                              </w:rPr>
                            </w:pPr>
                            <w:r>
                              <w:rPr>
                                <w:sz w:val="18"/>
                                <w:szCs w:val="18"/>
                              </w:rPr>
                              <w:drawing>
                                <wp:inline distT="0" distB="0" distL="0" distR="0">
                                  <wp:extent cx="2695575" cy="1884045"/>
                                  <wp:effectExtent l="0" t="0" r="190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24473" cy="1904647"/>
                                          </a:xfrm>
                                          <a:prstGeom prst="rect">
                                            <a:avLst/>
                                          </a:prstGeom>
                                          <a:noFill/>
                                          <a:ln>
                                            <a:noFill/>
                                          </a:ln>
                                        </pic:spPr>
                                      </pic:pic>
                                    </a:graphicData>
                                  </a:graphic>
                                </wp:inline>
                              </w:drawing>
                            </w:r>
                          </w:p>
                          <w:p w14:paraId="2EEBBB0E">
                            <w:pPr>
                              <w:ind w:firstLine="0"/>
                              <w:jc w:val="center"/>
                              <w:rPr>
                                <w:color w:val="000000" w:themeColor="text1"/>
                                <w:sz w:val="18"/>
                                <w:szCs w:val="18"/>
                                <w:lang w:val="en-US"/>
                                <w14:textFill>
                                  <w14:solidFill>
                                    <w14:schemeClr w14:val="tx1"/>
                                  </w14:solidFill>
                                </w14:textFill>
                              </w:rPr>
                            </w:pPr>
                            <w:r>
                              <w:rPr>
                                <w:color w:val="000000" w:themeColor="text1"/>
                                <w:sz w:val="18"/>
                                <w:szCs w:val="18"/>
                                <w14:textFill>
                                  <w14:solidFill>
                                    <w14:schemeClr w14:val="tx1"/>
                                  </w14:solidFill>
                                </w14:textFill>
                              </w:rPr>
                              <w:t xml:space="preserve">Figure 1. Standard CCCV </w:t>
                            </w:r>
                            <w:r>
                              <w:rPr>
                                <w:rFonts w:hint="default"/>
                                <w:color w:val="000000" w:themeColor="text1"/>
                                <w:sz w:val="18"/>
                                <w:szCs w:val="18"/>
                                <w:lang w:val="en-US"/>
                                <w14:textFill>
                                  <w14:solidFill>
                                    <w14:schemeClr w14:val="tx1"/>
                                  </w14:solidFill>
                                </w14:textFill>
                              </w:rPr>
                              <w:t>M</w:t>
                            </w:r>
                            <w:r>
                              <w:rPr>
                                <w:color w:val="000000" w:themeColor="text1"/>
                                <w:sz w:val="18"/>
                                <w:szCs w:val="18"/>
                                <w14:textFill>
                                  <w14:solidFill>
                                    <w14:schemeClr w14:val="tx1"/>
                                  </w14:solidFill>
                                </w14:textFill>
                              </w:rPr>
                              <w:t>ethod</w:t>
                            </w:r>
                            <w:r>
                              <w:rPr>
                                <w:color w:val="000000" w:themeColor="text1"/>
                                <w:sz w:val="18"/>
                                <w:szCs w:val="18"/>
                                <w:lang w:val="en-US"/>
                                <w14:textFill>
                                  <w14:solidFill>
                                    <w14:schemeClr w14:val="tx1"/>
                                  </w14:solidFill>
                                </w14:textFill>
                              </w:rPr>
                              <w:t xml:space="preserve"> </w:t>
                            </w:r>
                          </w:p>
                          <w:p w14:paraId="05F6926F">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1.1pt;margin-top:-309.15pt;height:171.3pt;width:228.65pt;mso-wrap-distance-bottom:0pt;mso-wrap-distance-top:0pt;z-index:251663360;v-text-anchor:middle;mso-width-relative:page;mso-height-relative:page;" filled="f" stroked="f" coordsize="21600,21600" o:gfxdata="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L8oxFdwAAAANAQAADwAA&#10;AAAAAAABACAAAAAiAAAAZHJzL2Rvd25yZXYueG1sUEsBAhQAFAAAAAgAh07iQHQHV3u9AgAAjgUA&#10;AA4AAAAAAAAAAQAgAAAAKwEAAGRycy9lMm9Eb2MueG1sUEsFBgAAAAAGAAYAWQEAAFoGAAAAAA==&#10;">
                <v:fill on="f" focussize="0,0"/>
                <v:stroke on="f" weight="2pt"/>
                <v:imagedata o:title=""/>
                <o:lock v:ext="edit" aspectratio="f"/>
                <v:textbox>
                  <w:txbxContent>
                    <w:p w14:paraId="5AC386A9">
                      <w:pPr>
                        <w:ind w:firstLine="0"/>
                        <w:jc w:val="center"/>
                        <w:rPr>
                          <w:color w:val="000000" w:themeColor="text1"/>
                          <w:sz w:val="18"/>
                          <w:szCs w:val="18"/>
                          <w:lang w:val="en-US"/>
                          <w14:textFill>
                            <w14:solidFill>
                              <w14:schemeClr w14:val="tx1"/>
                            </w14:solidFill>
                          </w14:textFill>
                        </w:rPr>
                      </w:pPr>
                      <w:r>
                        <w:rPr>
                          <w:sz w:val="18"/>
                          <w:szCs w:val="18"/>
                        </w:rPr>
                        <w:drawing>
                          <wp:inline distT="0" distB="0" distL="0" distR="0">
                            <wp:extent cx="2695575" cy="1884045"/>
                            <wp:effectExtent l="0" t="0" r="190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24473" cy="1904647"/>
                                    </a:xfrm>
                                    <a:prstGeom prst="rect">
                                      <a:avLst/>
                                    </a:prstGeom>
                                    <a:noFill/>
                                    <a:ln>
                                      <a:noFill/>
                                    </a:ln>
                                  </pic:spPr>
                                </pic:pic>
                              </a:graphicData>
                            </a:graphic>
                          </wp:inline>
                        </w:drawing>
                      </w:r>
                    </w:p>
                    <w:p w14:paraId="2EEBBB0E">
                      <w:pPr>
                        <w:ind w:firstLine="0"/>
                        <w:jc w:val="center"/>
                        <w:rPr>
                          <w:color w:val="000000" w:themeColor="text1"/>
                          <w:sz w:val="18"/>
                          <w:szCs w:val="18"/>
                          <w:lang w:val="en-US"/>
                          <w14:textFill>
                            <w14:solidFill>
                              <w14:schemeClr w14:val="tx1"/>
                            </w14:solidFill>
                          </w14:textFill>
                        </w:rPr>
                      </w:pPr>
                      <w:r>
                        <w:rPr>
                          <w:color w:val="000000" w:themeColor="text1"/>
                          <w:sz w:val="18"/>
                          <w:szCs w:val="18"/>
                          <w14:textFill>
                            <w14:solidFill>
                              <w14:schemeClr w14:val="tx1"/>
                            </w14:solidFill>
                          </w14:textFill>
                        </w:rPr>
                        <w:t xml:space="preserve">Figure 1. Standard CCCV </w:t>
                      </w:r>
                      <w:r>
                        <w:rPr>
                          <w:rFonts w:hint="default"/>
                          <w:color w:val="000000" w:themeColor="text1"/>
                          <w:sz w:val="18"/>
                          <w:szCs w:val="18"/>
                          <w:lang w:val="en-US"/>
                          <w14:textFill>
                            <w14:solidFill>
                              <w14:schemeClr w14:val="tx1"/>
                            </w14:solidFill>
                          </w14:textFill>
                        </w:rPr>
                        <w:t>M</w:t>
                      </w:r>
                      <w:r>
                        <w:rPr>
                          <w:color w:val="000000" w:themeColor="text1"/>
                          <w:sz w:val="18"/>
                          <w:szCs w:val="18"/>
                          <w14:textFill>
                            <w14:solidFill>
                              <w14:schemeClr w14:val="tx1"/>
                            </w14:solidFill>
                          </w14:textFill>
                        </w:rPr>
                        <w:t>ethod</w:t>
                      </w:r>
                      <w:r>
                        <w:rPr>
                          <w:color w:val="000000" w:themeColor="text1"/>
                          <w:sz w:val="18"/>
                          <w:szCs w:val="18"/>
                          <w:lang w:val="en-US"/>
                          <w14:textFill>
                            <w14:solidFill>
                              <w14:schemeClr w14:val="tx1"/>
                            </w14:solidFill>
                          </w14:textFill>
                        </w:rPr>
                        <w:t xml:space="preserve"> </w:t>
                      </w:r>
                    </w:p>
                    <w:p w14:paraId="05F6926F">
                      <w:pPr>
                        <w:jc w:val="center"/>
                        <w:rPr>
                          <w:sz w:val="18"/>
                          <w:szCs w:val="18"/>
                        </w:rPr>
                      </w:pPr>
                    </w:p>
                  </w:txbxContent>
                </v:textbox>
                <w10:wrap type="topAndBottom"/>
              </v:rect>
            </w:pict>
          </mc:Fallback>
        </mc:AlternateContent>
      </w:r>
      <w:r>
        <w:rPr>
          <w:color w:val="000000" w:themeColor="text1"/>
          <w:lang w:val="en-US"/>
          <w14:textFill>
            <w14:solidFill>
              <w14:schemeClr w14:val="tx1"/>
            </w14:solidFill>
          </w14:textFill>
        </w:rPr>
        <w:t xml:space="preserve">Several charging techniques have been explored for lithium-ion batteries (Lithium-Ion Batteries or LIBs), along with the increasing need for battery efficiency, safety, and longevity. These techniques are designed to optimize the charging process to match the chemical and physical characteristics of lithium-ion batteries, as well as to avoid conditions that could lead to battery degradation or even failure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DOI":"10.1016/j.renene.2019.08.077","ISSN":"09601481","author":[{"dropping-particle":"","family":"Li","given":"Yunjian","non-dropping-particle":"","parse-names":false,"suffix":""},{"dropping-particle":"","family":"Li","given":"Kuining","non-dropping-particle":"","parse-names":false,"suffix":""},{"dropping-particle":"","family":"Xie","given":"Yi","non-dropping-particle":"","parse-names":false,"suffix":""},{"dropping-particle":"","family":"Liu","given":"Jiangyan","non-dropping-particle":"","parse-names":false,"suffix":""},{"dropping-particle":"","family":"Fu","given":"Chunyun","non-dropping-particle":"","parse-names":false,"suffix":""},{"dropping-particle":"","family":"Liu","given":"Bin","non-dropping-particle":"","parse-names":false,"suffix":""}],"container-title":"Renewable Energy","id":"ITEM-1","issued":{"date-parts":[["2020","2"]]},"page":"2688-2699","publisher":"Elsevier","title":"Optimized charging of lithium-ion battery for electric vehicles: Adaptive multistage constant current–constant voltage charging strategy","type":"article-journal","volume":"146"},"uris":["http://www.mendeley.com/documents/?uuid=87eb709c-db2f-40d5-b55a-8e1acac963e9"]},{"id":"ITEM-2","itemData":{"DOI":"10.1016/j.jechem.2023.05.023","ISSN":"20954956","abstract":"To reduce the carbon footprint in the transportation sector and improve overall vehicle efficiency, a large number of electric vehicles are being manufactured. This is due to the fact that environmental concerns and the depletion of fossil fuels have become significant global problems. Lithium-ion batteries (LIBs) have been distinguished themselves from alternative energy storage technologies for electric vehicles (EVs) due to superior qualities like high energy and power density, extended cycle life, and low maintenance cost to a competitive price. However, there are still certain challenges to be solved, like EV fast charging, longer lifetime, and reduced weight. For fast charging, the multi-stage constant current (MSCC) charging technique is an emerging solution to improve charging efficiency, reduce temperature rise during charging, increase charging/discharging capacities, shorten charging time, and extend the cycle life. However, there are large variations in the implementation of the number of stages, stage transition criterion, and C-rate selection for each stage. This paper provides a review of these problems by compiling information from the literature. An overview of the impact of different design parameters (number of stages, stage transition, and C-rate) that the MSCC charging techniques have had on the LIB performance and cycle life is described in detail and analyzed. The impact of design parameters on lifetime, charging efficiency, charging and discharging capacity, charging speed, and rising temperature during charging is presented, and this review provides guidelines for designing advanced fast charging strategies and determining future research gaps.","author":[{"dropping-particle":"","family":"Usman Tahir","given":"Muhammad","non-dropping-particle":"","parse-names":false,"suffix":""},{"dropping-particle":"","family":"Sangwongwanich","given":"Ariya","non-dropping-particle":"","parse-names":false,"suffix":""},{"dropping-particle":"","family":"Stroe","given":"Daniel Ioan","non-dropping-particle":"","parse-names":false,"suffix":""},{"dropping-particle":"","family":"Blaabjerg","given":"Frede","non-dropping-particle":"","parse-names":false,"suffix":""}],"container-title":"Journal of Energy Chemistry","id":"ITEM-2","issued":{"date-parts":[["2023"]]},"page":"228-241","publisher":"Science Press and Dalian Institute of Chemical Physics, Chinese Academy of Sciences","title":"Overview of multi-stage charging strategies for Li-ion batteries","type":"article-journal","volume":"84"},"uris":["http://www.mendeley.com/documents/?uuid=ad8c7e72-e75d-484c-97b5-aa7233592810"]},{"id":"ITEM-3","itemData":{"DOI":"10.1109/TIV.2022.3161301","author":[{"dropping-particle":"","family":"Lipu","given":"M S Hossain","non-dropping-particle":"","parse-names":false,"suffix":""},{"dropping-particle":"","family":"Hannan","given":"M A","non-dropping-particle":"","parse-names":false,"suffix":""},{"dropping-particle":"","family":"Member","given":"Senior","non-dropping-particle":"","parse-names":false,"suffix":""},{"dropping-particle":"","family":"Hussain","given":"Aini","non-dropping-particle":"","parse-names":false,"suffix":""},{"dropping-particle":"","family":"Ansari","given":"Shaheer","non-dropping-particle":"","parse-names":false,"suffix":""},{"dropping-particle":"","family":"Rahman","given":"S A","non-dropping-particle":"","parse-names":false,"suffix":""},{"dropping-particle":"","family":"Saad","given":"Mohamad H M","non-dropping-particle":"","parse-names":false,"suffix":""},{"dropping-particle":"","family":"Muttaqi","given":"K M","non-dropping-particle":"","parse-names":false,"suffix":""},{"dropping-particle":"","family":"Member","given":"Senior","non-dropping-particle":"","parse-names":false,"suffix":""}],"container-title":"IEEE Transactions on Intelligent Vehicles","id":"ITEM-3","issue":"1","issued":{"date-parts":[["2023"]]},"page":"639-648","publisher":"IEEE","title":"Real-Time State of Charge Estimation of Lithium-Ion Batteries Using Optimized Random Forest Regression Algorithm","type":"article-journal","volume":"8"},"uris":["http://www.mendeley.com/documents/?uuid=407af5a6-9596-48e0-ad83-7571e8d98bdf"]},{"id":"ITEM-4","itemData":{"DOI":"10.3390/en13010090","ISSN":"19961073","abstract":"To reduce the dependence on oil and environmental pollution, the development of electric vehicles has been accelerated in many countries. The implementation of EVs, especially battery electric vehicles, is considered a solution to the energy crisis and environmental issues. This paper provides a comprehensive review of the technical development of EVs and emerging technologies for their future application. Key technologies regarding batteries, charging technology, electric motors and control, and charging infrastructure of EVs are summarized. This paper also highlights the technical challenges and emerging technologies for the improvement of efficiency, reliability, and safety of EVs in the coming stages as another contribution.","author":[{"dropping-particle":"","family":"Sun","given":"Xiaoli","non-dropping-particle":"","parse-names":false,"suffix":""},{"dropping-particle":"","family":"Li","given":"Zhengguo","non-dropping-particle":"","parse-names":false,"suffix":""},{"dropping-particle":"","family":"Wang","given":"Xiaolin","non-dropping-particle":"","parse-names":false,"suffix":""},{"dropping-particle":"","family":"Li","given":"Chengjiang","non-dropping-particle":"","parse-names":false,"suffix":""}],"container-title":"Energies","id":"ITEM-4","issue":"1","issued":{"date-parts":[["2019"]]},"page":"1-29","title":"Technology development of electric vehicles: A review","type":"article-journal","volume":"13"},"uris":["http://www.mendeley.com/documents/?uuid=a6af34dc-96a6-408a-ab6e-393554342f20"]}],"mendeley":{"formattedCitation":"[1], [15]–[17]","plainTextFormattedCitation":"[1], [15]–[17]","previouslyFormattedCitation":"[1], [14]–[16]"},"properties":{"noteIndex":0},"schema":"https://github.com/citation-style-language/schema/raw/master/csl-citation.json"}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[1], [15]–[17]</w:t>
      </w:r>
      <w:r>
        <w:rPr>
          <w:color w:val="000000" w:themeColor="text1"/>
          <w14:textFill>
            <w14:solidFill>
              <w14:schemeClr w14:val="tx1"/>
            </w14:solidFill>
          </w14:textFill>
        </w:rPr>
        <w:fldChar w:fldCharType="end"/>
      </w:r>
      <w:r>
        <w:rPr>
          <w:color w:val="000000" w:themeColor="text1"/>
          <w:lang w:val="en-US"/>
          <w14:textFill>
            <w14:solidFill>
              <w14:schemeClr w14:val="tx1"/>
            </w14:solidFill>
          </w14:textFill>
        </w:rPr>
        <w:t xml:space="preserve">. One of the most commonly used methods is the Constant Current (CC) technique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{"citationItems":[{"id":"ITEM-1","itemData":{"DOI":"10.11591/ijaas.v13.i3.pp591-599","ISSN":"2722-2594","abstract":"The role of electric vehicles (EVs) is very important in the coming years because of their environmental friendliness and ability to absorb excess electricity from renewable energy sources (RES). Charging EVs will have an immediate negative impact on the power grid. EV smart charging provides a solution to these problems. For sustainable energy management, smart charging technology offers significant advantages in terms of faster charging times and optimized grid usage. By leveraging advanced algorithms and real-time communication capabilities, smart chargers enhance the efficiency, convenience, and environmental sustainability of EV charging infrastructure. Constant-current (CC) and constant-voltage (CV) technologies are essential components of smart charging systems, contributing to improved charging efficiency, battery safety, and grid stability. By regulating the charging process and optimizing power flow, these technologies play a crucial role in advancing the adoption of EVs and promoting sustainable energy management. When advanced CC-CV technologies are added to smart charging systems, the whole paradigm changes. Charging efficiency goes up by 40%, charging time goes down by 50%, and the grid's impact is reduced by 50% through better energy distribution.","author":[{"dropping-particle":"","family":"Sutikno","given":"Tole","non-dropping-particle":"","parse-names":false,"suffix":""},{"dropping-particle":"","family":"Wahono","given":"Tri","non-dropping-particle":"","parse-names":false,"suffix":""},{"dropping-particle":"","family":"Ardiansyah","given":"Ardiansyah","non-dropping-particle":"","parse-names":false,"suffix":""}],"container-title":"International Journal of Advances in Applied Sciences","id":"ITEM-1","issue":"3","issued":{"date-parts":[["2024","9","1"]]},"page":"591","title":"A study of smart charging for electric vehicles using constant-current and constant-voltage technology","type":"article-journal","volume":"13"},"uris":["http://www.mendeley.com/documents/?uuid=61b9c472-890a-4d70-8a84-1eede33e1ca3"]}],"mendeley":{"formattedCitation":"[2]","plainTextFormattedCitation":"[2]","previouslyFormattedCitation":"[2]"},"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lang w:val="en-US"/>
          <w14:textFill>
            <w14:solidFill>
              <w14:schemeClr w14:val="tx1"/>
            </w14:solidFill>
          </w14:textFill>
        </w:rPr>
        <w:t xml:space="preserve">. In this method, the battery is charged using a predetermined fixed current. Charging takes place at a constant rate until the battery voltage reaches a certain threshold, usually close to the maximum voltage allowed for that type of battery. This technique is relatively simple and efficient in the early stages of charging, as it allows for rapid transfer of energy into the battery. Once the maximum voltage is reached, the charging process is usually continued with the Constant Voltage (CV) method. At this stage, the voltage is kept constant while the charging current gradually decreases. The drop in current occurs naturally because the potential difference between the power source and the battery gets smaller over time. The CV stage aims to slowly and safely charge the remaining battery capacity while reducing the risk of overcharging that can damage the internal structure of the battery. The combination of CC and CV techniques is often used in modern filling systems to ensure a fast, yet safe, and efficient filling process. This approach not only extends the battery life but also helps maintain optimal performance throughout its lifecycle. </w:t>
      </w:r>
      <w:r>
        <w:rPr>
          <w:color w:val="000000" w:themeColor="text1"/>
          <w:lang w:val="en-US"/>
          <w14:textFill>
            <w14:solidFill>
              <w14:schemeClr w14:val="tx1"/>
            </w14:solidFill>
          </w14:textFill>
        </w:rPr>
        <w:t>Figure 1 illustrates the standard CCCV charging profile commonly used for lithium-ion batteries. The charging process begins with a C) phase, where the battery is charged with a fixed current until it reaches the maximum voltage threshold. Once this voltage is achieved, the charger transitions to the CV phase, where the voltage is held steady, and the current gradually decreases. This two-stage process helps ensure fast initial charging while protecting the battery from overvoltage damage in the later stage. The figure visually represents this transition and the typical behavior of current and voltage over time</w:t>
      </w:r>
      <w:r>
        <w:rPr>
          <w:color w:val="000000" w:themeColor="text1"/>
          <w:lang w:val="en-US"/>
          <w14:textFill>
            <w14:solidFill>
              <w14:schemeClr w14:val="tx1"/>
            </w14:solidFill>
          </w14:textFill>
        </w:rPr>
        <w:t xml:space="preserve">. Research is constantly being conducted to refine these techniques and develop new methods that are more adaptive to the specific conditions and needs of battery users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DOI":"10.1016/j.renene.2019.08.077","ISSN":"0960-1481","author":[{"dropping-particle":"","family":"Li","given":"Yunjian","non-dropping-particle":"","parse-names":false,"suffix":""},{"dropping-particle":"","family":"Li","given":"Kuining","non-dropping-particle":"","parse-names":false,"suffix":""},{"dropping-particle":"","family":"Xie","given":"Yi","non-dropping-particle":"","parse-names":false,"suffix":""},{"dropping-particle":"","family":"Liu","given":"Jiangyan","non-dropping-particle":"","parse-names":false,"suffix":""},{"dropping-particle":"","family":"Fu","given":"Chunyun","non-dropping-particle":"","parse-names":false,"suffix":""},{"dropping-particle":"","family":"Liu","given":"Bin","non-dropping-particle":"","parse-names":false,"suffix":""}],"container-title":"Renewable Energy","id":"ITEM-1","issued":{"date-parts":[["2020"]]},"page":"2688-2699","publisher":"Elsevier Ltd","title":"Optimized charging of lithium-ion battery for electric vehicles : Adaptive multistage constant current e constant voltage charging strategy","type":"article-journal","volume":"146"},"uris":["http://www.mendeley.com/documents/?uuid=6f1f3ab7-ecde-4916-a75f-62d6381779fe"]}],"mendeley":{"formattedCitation":"[10]","plainTextFormattedCitation":"[10]","previouslyFormattedCitation":"[10]"},"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[10]</w:t>
      </w:r>
      <w:r>
        <w:rPr>
          <w:color w:val="000000" w:themeColor="text1"/>
          <w14:textFill>
            <w14:solidFill>
              <w14:schemeClr w14:val="tx1"/>
            </w14:solidFill>
          </w14:textFill>
        </w:rPr>
        <w:fldChar w:fldCharType="end"/>
      </w:r>
      <w:r>
        <w:rPr>
          <w:color w:val="000000" w:themeColor="text1"/>
          <w:lang w:val="en-US"/>
          <w14:textFill>
            <w14:solidFill>
              <w14:schemeClr w14:val="tx1"/>
            </w14:solidFill>
          </w14:textFill>
        </w:rPr>
        <w:t>.</w:t>
      </w:r>
    </w:p>
    <w:p w14:paraId="14A4B8B5">
      <w:pPr>
        <w:pStyle w:val="3"/>
        <w:rPr>
          <w:color w:val="000000" w:themeColor="text1"/>
          <w14:textFill>
            <w14:solidFill>
              <w14:schemeClr w14:val="tx1"/>
            </w14:solidFill>
          </w14:textFill>
        </w:rPr>
      </w:pPr>
      <w:r>
        <w:rPr>
          <w:color w:val="000000" w:themeColor="text1"/>
          <w14:textFill>
            <w14:solidFill>
              <w14:schemeClr w14:val="tx1"/>
            </w14:solidFill>
          </w14:textFill>
        </w:rPr>
        <w:t xml:space="preserve">Control Strategy in Battery Charging </w:t>
      </w:r>
    </w:p>
    <w:p w14:paraId="5897DC0D">
      <w:pPr>
        <w:rPr>
          <w:color w:val="000000" w:themeColor="text1"/>
          <w14:textFill>
            <w14:solidFill>
              <w14:schemeClr w14:val="tx1"/>
            </w14:solidFill>
          </w14:textFill>
        </w:rPr>
      </w:pPr>
      <w:r>
        <w:rPr>
          <w:color w:val="000000" w:themeColor="text1"/>
          <w14:textFill>
            <w14:solidFill>
              <w14:schemeClr w14:val="tx1"/>
            </w14:solidFill>
          </w14:textFill>
        </w:rPr>
        <w:t>In battery charging systems, there are two main approaches to process control, namely open-loop and closed-loop methods. The open-loop method is a traditional approach that works without considering the feedback of the system [18]–[20].</w:t>
      </w:r>
      <w:r>
        <w:rPr>
          <w:color w:val="000000" w:themeColor="text1"/>
          <w:lang w:val="en-GB"/>
          <w14:textFill>
            <w14:solidFill>
              <w14:schemeClr w14:val="tx1"/>
            </w14:solidFill>
          </w14:textFill>
        </w:rPr>
        <w:t xml:space="preserve"> </w:t>
      </w:r>
      <w:r>
        <w:rPr>
          <w:color w:val="000000" w:themeColor="text1"/>
          <w14:textFill>
            <w14:solidFill>
              <w14:schemeClr w14:val="tx1"/>
            </w14:solidFill>
          </w14:textFill>
        </w:rPr>
        <w:t>This means that the charging process is carried out based on predetermined parameters without any adjustment to the actual condition of the battery during charging. Although simple, this method has limitations in terms of flexibility and response to changing conditions, such as battery temperature, cell life, or system load. In contrast, the closed-loop method offers a more adaptive and responsive solution. The closed-loop system uses feedback from important parameters such as voltage, current, and battery temperature to make real-time adjustments. This approach allows the charging system to respond to the dynamics of the battery more accurately, thus improving the efficiency and safety of the charging process. One of the most commonly used forms of closed-loop control is PID control [8].</w:t>
      </w:r>
    </w:p>
    <w:p w14:paraId="4E54153F">
      <w:pPr>
        <w:rPr>
          <w:color w:val="000000" w:themeColor="text1"/>
          <w:lang w:val="en-US"/>
          <w14:textFill>
            <w14:solidFill>
              <w14:schemeClr w14:val="tx1"/>
            </w14:solidFill>
          </w14:textFill>
        </w:rPr>
      </w:pPr>
      <w:r>
        <w:rPr>
          <w:color w:val="000000" w:themeColor="text1"/>
          <w:lang w:val="en-US"/>
          <w14:textFill>
            <w14:solidFill>
              <w14:schemeClr w14:val="tx1"/>
            </w14:solidFill>
          </w14:textFill>
        </w:rPr>
        <w:t>The use of PID control in battery management systems (BMS) is very broad due to its simplicity of implementation and its ability to provide stable and accurate responses. The PID controller works by calculating the difference between the actual value and the desired value (setpoint), and then adjusting the control signal to minimize the difference. The proportional component is in charge of responding to current errors, the integral component takes into account the accumulation of past errors, while the derivative component predicts future errors. The combination of these three components allows the system to keep battery charging conditions within safe and optimal limits [21]. With the application of PID control, the battery charging system can precisely regulate the charging current and voltage according to the actual condition of the battery. This not only improves energy efficiency, but also helps extend battery life and reduces the risk of damage due to overcharging or uncontrolled temperatures. Therefore, the closed-loop approach with PID control is becoming an increasingly adopted standard in modern battery charging technology, both for portable devices and electric vehicles.</w:t>
      </w:r>
    </w:p>
    <w:p w14:paraId="0598F394">
      <w:pPr>
        <w:keepNext w:val="0"/>
        <w:keepLines w:val="0"/>
        <w:pageBreakBefore w:val="0"/>
        <w:widowControl/>
        <w:kinsoku/>
        <w:wordWrap/>
        <w:overflowPunct/>
        <w:topLinePunct w:val="0"/>
        <w:autoSpaceDE/>
        <w:autoSpaceDN/>
        <w:bidi w:val="0"/>
        <w:adjustRightInd/>
        <w:snapToGrid/>
        <w:ind w:firstLine="357"/>
        <w:textAlignment w:val="auto"/>
        <w:rPr>
          <w:color w:val="000000" w:themeColor="text1"/>
          <w:lang w:val="en-US"/>
          <w14:textFill>
            <w14:solidFill>
              <w14:schemeClr w14:val="tx1"/>
            </w14:solidFill>
          </w14:textFill>
        </w:rPr>
      </w:pPr>
      <w:r>
        <w:rPr>
          <w:color w:val="000000" w:themeColor="text1"/>
          <w:lang w:val="en-US"/>
          <w14:textFill>
            <w14:solidFill>
              <w14:schemeClr w14:val="tx1"/>
            </w14:solidFill>
          </w14:textFill>
        </w:rPr>
        <w:t xml:space="preserve">Several studies have explored the application of PID control for battery charging to improve system responsiveness and stability. For example, Kaleem et al. [8] proposed a closed-loop fast charging system based on feedback PID and demonstrated improved regulation of charging current and voltage in real time. Wang et al.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ISSN":"2199-4536","author":[{"dropping-particle":"","family":"Wang","given":"Xiuzhuo","non-dropping-particle":"","parse-names":false,"suffix":""},{"dropping-particle":"","family":"Tang","given":"Yanfeng","non-dropping-particle":"","parse-names":false,"suffix":""},{"dropping-particle":"","family":"Li","given":"Zeyao","non-dropping-particle":"","parse-names":false,"suffix":""},{"dropping-particle":"","family":"Xu","given":"Chunsheng","non-dropping-particle":"","parse-names":false,"suffix":""}],"container-title":"Complex &amp; Intelligent Systems","id":"ITEM-1","issue":"5","issued":{"date-parts":[["2024"]]},"page":"6421-6433","publisher":"Springer","title":"Research on charging strategy based on improved particle swarm optimization PID algorithm","type":"article-journal","volume":"10"},"uris":["http://www.mendeley.com/documents/?uuid=4f6f60cf-7b0f-45d6-ab94-8a951f4cfbb0"]}],"mendeley":{"formattedCitation":"[12]","plainTextFormattedCitation":"[12]","previouslyFormattedCitation":"[12]"},"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[12]</w:t>
      </w:r>
      <w:r>
        <w:rPr>
          <w:color w:val="000000" w:themeColor="text1"/>
          <w:lang w:val="en-US"/>
          <w14:textFill>
            <w14:solidFill>
              <w14:schemeClr w14:val="tx1"/>
            </w14:solidFill>
          </w14:textFill>
        </w:rPr>
        <w:fldChar w:fldCharType="end"/>
      </w:r>
      <w:r>
        <w:rPr>
          <w:color w:val="000000" w:themeColor="text1"/>
          <w:lang w:val="en-US"/>
          <w14:textFill>
            <w14:solidFill>
              <w14:schemeClr w14:val="tx1"/>
            </w14:solidFill>
          </w14:textFill>
        </w:rPr>
        <w:t xml:space="preserve"> employed an enhanced PID algorithm optimized via particle swarm optimization (PSO) to further improve accuracy and response time. Similarly, Rad et al.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{"citationItems":[{"id":"ITEM-1","itemData":{"ISBN":"9798350317664","author":[{"dropping-particle":"","family":"Rad","given":"Shervin Salehi","non-dropping-particle":"","parse-names":false,"suffix":""},{"dropping-particle":"","family":"Muhlbaier","given":"Micheal","non-dropping-particle":"","parse-names":false,"suffix":""},{"dropping-particle":"","family":"Fishman","given":"Oleg","non-dropping-particle":"","parse-names":false,"suffix":""},{"dropping-particle":"","family":"Chevinly","given":"Javad","non-dropping-particle":"","parse-names":false,"suffix":""},{"dropping-particle":"","family":"Nadi","given":"Elias","non-dropping-particle":"","parse-names":false,"suffix":""},{"dropping-particle":"","family":"Zhang","given":"Hua","non-dropping-particle":"","parse-names":false,"suffix":""},{"dropping-particle":"","family":"Lu","given":"Fei","non-dropping-particle":"","parse-names":false,"suffix":""}],"container-title":"2024 IEEE Transportation Electrification Conference and Expo (ITEC)","id":"ITEM-1","issued":{"date-parts":[["2024"]]},"page":"1-5","publisher":"IEEE","title":"A Novel Approach in Evaluating Battery Charger Controller Design with Nonlinear PID Controller for an Extendable CHIL Setup","type":"paper-conference"},"uris":["http://www.mendeley.com/documents/?uuid=23288622-7919-41e7-9e0b-1f38d5b13ade"]}],"mendeley":{"formattedCitation":"[22]","plainTextFormattedCitation":"[22]","previouslyFormattedCitation":"[21]"},"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[22]</w:t>
      </w:r>
      <w:r>
        <w:rPr>
          <w:color w:val="000000" w:themeColor="text1"/>
          <w:lang w:val="en-US"/>
          <w14:textFill>
            <w14:solidFill>
              <w14:schemeClr w14:val="tx1"/>
            </w14:solidFill>
          </w14:textFill>
        </w:rPr>
        <w:fldChar w:fldCharType="end"/>
      </w:r>
      <w:r>
        <w:rPr>
          <w:color w:val="000000" w:themeColor="text1"/>
          <w:lang w:val="en-US"/>
          <w14:textFill>
            <w14:solidFill>
              <w14:schemeClr w14:val="tx1"/>
            </w14:solidFill>
          </w14:textFill>
        </w:rPr>
        <w:t xml:space="preserve"> developed a nonlinear PID control strategy for battery charger evaluation using a CHIL (Controller Hardware-in-the-Loop) setup, showing significant improvements in stability and overshoot suppression. These works support the feasibility and effectiveness of PID implementation in dynamic charging environments, which is the basis for the approach presented in this document.</w:t>
      </w:r>
    </w:p>
    <w:p w14:paraId="7ED19CA6">
      <w:pPr>
        <w:pStyle w:val="3"/>
        <w:rPr>
          <w:color w:val="000000" w:themeColor="text1"/>
          <w14:textFill>
            <w14:solidFill>
              <w14:schemeClr w14:val="tx1"/>
            </w14:solidFill>
          </w14:textFill>
        </w:rPr>
      </w:pPr>
      <w:r>
        <w:rPr>
          <w:color w:val="000000" w:themeColor="text1"/>
          <w14:textFill>
            <w14:solidFill>
              <w14:schemeClr w14:val="tx1"/>
            </w14:solidFill>
          </w14:textFill>
        </w:rPr>
        <w:t>Challenges in Fast Charging</w:t>
      </w:r>
      <w:r>
        <w:rPr>
          <w:color w:val="000000" w:themeColor="text1"/>
          <w:lang w:val="en-US"/>
          <w14:textFill>
            <w14:solidFill>
              <w14:schemeClr w14:val="tx1"/>
            </w14:solidFill>
          </w14:textFill>
        </w:rPr>
        <w:t xml:space="preserve"> </w:t>
      </w:r>
    </w:p>
    <w:p w14:paraId="1C162EC1">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Fast charging has become an important feature in a variety of applications, especially in portable electronic devices and electric vehicles. However, in addition to its advantages in saving time, fast charging also presents a number of technical challenges that are quite complex. These challenges relate to the safety, efficiency and long-term durability aspects of the battery itself [1][23].</w:t>
      </w:r>
    </w:p>
    <w:p w14:paraId="16E29230">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14:textFill>
            <w14:solidFill>
              <w14:schemeClr w14:val="tx1"/>
            </w14:solidFill>
          </w14:textFill>
        </w:rPr>
      </w:pPr>
      <w:r>
        <w:rPr>
          <w:color w:val="000000" w:themeColor="text1"/>
          <w14:textFill>
            <w14:solidFill>
              <w14:schemeClr w14:val="tx1"/>
            </w14:solidFill>
          </w14:textFill>
        </w:rPr>
        <w:t xml:space="preserve">One of the main problems with fast charging is overheating or an excessive increase in temperature. When high charging currents are used to speed up the process, the internal resistance of the battery causes a significant increase in temperature. If not properly controlled, overheating can trigger harmful chemical reactions, accelerate the degradation of battery cells, and even pose a risk of fire or explosion. Therefore, thermal management is a critical aspect in the design of a fast-charging system. Active or passive cooling systems are often applied to keep the temperature within safe limits </w:t>
      </w:r>
      <w:r>
        <w:rPr>
          <w:color w:val="000000" w:themeColor="text1"/>
          <w:lang w:val="en-US"/>
          <w14:textFill>
            <w14:solidFill>
              <w14:schemeClr w14:val="tx1"/>
            </w14:solidFill>
          </w14:textFill>
        </w:rPr>
        <w:fldChar w:fldCharType="begin" w:fldLock="1"/>
      </w:r>
      <w:r>
        <w:rPr>
          <w:color w:val="000000" w:themeColor="text1"/>
          <w14:textFill>
            <w14:solidFill>
              <w14:schemeClr w14:val="tx1"/>
            </w14:solidFill>
          </w14:textFill>
        </w:rPr>
        <w:instrText xml:space="preserve">ADDIN CSL_CITATION {"citationItems":[{"id":"ITEM-1","itemData":{"DOI":"10.1016/j.sajce.2024.09.008","ISSN":"10269185","abstract":"Advances in cathode materials continue to drive the development of safer, more efficient, and sustainable lithium-ion (Li-ion) batteries for various applications, including electric vehicles (EVs) and grid storage. This review article offers insights into key elements—lithium, nickel, manganese, cobalt, and aluminium—within modern battery technology, focusing on their roles and significance in Li-ion batteries. The review paper delves into the materials comprising a Li-ion battery cell, including the cathode, anode, current concentrators, binders, additives, electrolyte, separator, and cell casing, elucidating their roles and characteristics. Additionally, it examines various cathode materials crucial to the performance and safety of Li-ion batteries, such as spinels, lithium metal oxides, and olivines, presenting their distinct advantages and challenges for battery applications. Lithium manganese (Li-Mn-O) spinels, like LiMn2O4, offer a cost-effective and environmentally friendly option with good thermal stability despite challenges such as capacity fading, which necessitate innovative approaches like dual-doping strategies. Nickel-rich lithium metal oxides like LiNixMnyCo1-x-yO2 provide high specific energy but face/encounter issues with cobalt reliance and stability, prompting research to reduce cobalt content and increase nickel content. Olivine-based cathode materials, such as lithium iron phosphate (LiFePO4), prioritize safety and stability but exhibit lower energy density, leading to exploration into isomorphous substitutions and nanostructuring to enhance performance. Safety considerations, including thermal management and rigorous testing protocols, are essential to mitigate risks of thermal runaway and short circuits. Thus, this review scrutinizes recent advancements in Li-ion battery cathode materials, delving into strategies aimed at mitigating associated drawbacks and identifying suitable electrode materials based on their electrochemical performance and capacity during operation.","author":[{"dropping-particle":"","family":"Koech","given":"Alex K.","non-dropping-particle":"","parse-names":false,"suffix":""},{"dropping-particle":"","family":"Mwandila","given":"Gershom","non-dropping-particle":"","parse-names":false,"suffix":""},{"dropping-particle":"","family":"Mulolani","given":"Francis","non-dropping-particle":"","parse-names":false,"suffix":""},{"dropping-particle":"","family":"Mwaanga","given":"Phenny","non-dropping-particle":"","parse-names":false,"suffix":""}],"container-title":"South African Journal of Chemical Engineering","id":"ITEM-1","issue":"September","issued":{"date-parts":[["2024"]]},"page":"321-339","publisher":"Elsevier B.V.","title":"Lithium-ion battery fundamentals and exploration of cathode materials: A review","type":"article-journal","volume":"50"},"uris":["http://www.mendeley.com/documents/?uuid=b7b3a3d9-5c58-4a14-87f7-1115881fc30c"]},{"id":"ITEM-2","itemData":{"DOI":"10.1155/2024/9921062","ISSN":"20507038","abstract":"Frequency control, especially when incorporating distributed generation units such as wind and solar power plants, is crucial for maintaining grid stability. To address this issue, a study proposes a method for controlling the connection status of electric vehicles (EVs) to prevent frequency fluctuations. The method utilizes an adaptive neural-fuzzy inference system (ANFIS) and a whale optimization algorithm to regulate the charging or discharging of EV batteries based on frequency fluctuations. The objective is to minimize and adjust the frequency fluctuations to zero. The proposed method is evaluated using a real microgrid composed of a wind power plant, a solar power plant, a diesel generator, a large household load, an industrial load, and 711 electric vehicles. The ANFIS system serves as the primary controller, taking inputs such as electric vehicle and battery status and generating outputs that determine the charging or discharging of the electric vehicles. Several investigations are conducted to assess the effectiveness of this model, and the results obtained are compared with the normal state where electric vehicles only consume power. By implementing this method, it is expected that the connection status of electric vehicles can be optimized to help stabilize the grid and minimize frequency fluctuations caused by the integration of distributed renewable energy sources. This study highlights the importance of automatic frequency control in smart grids and offers a potential solution using ANFIS and the whale optimization algorithm.","author":[{"dropping-particle":"","family":"Mahdavi","given":"Zahra","non-dropping-particle":"","parse-names":false,"suffix":""},{"dropping-particle":"","family":"Samavat","given":"Tina","non-dropping-particle":"","parse-names":false,"suffix":""},{"dropping-particle":"","family":"Javanmardi","given":"Anita Sadat Jahani","non-dropping-particle":"","parse-names":false,"suffix":""},{"dropping-particle":"","family":"Dashtaki","given":"Mohammad Ali","non-dropping-particle":"","parse-names":false,"suffix":""},{"dropping-particle":"","family":"Zand","given":"Mohammad","non-dropping-particle":"","parse-names":false,"suffix":""},{"dropping-particle":"","family":"Nasab","given":"Morteza Azimi","non-dropping-particle":"","parse-names":false,"suffix":""},{"dropping-particle":"","family":"Nasab","given":"Mostafa Azimi","non-dropping-particle":"","parse-names":false,"suffix":""},{"dropping-particle":"","family":"Padmanaban","given":"Sanjeevikumar","non-dropping-particle":"","parse-names":false,"suffix":""},{"dropping-particle":"","family":"Khan","given":"Baseem","non-dropping-particle":"","parse-names":false,"suffix":""}],"container-title":"International Transactions on Electrical Energy Systems","id":"ITEM-2","issued":{"date-parts":[["2024"]]},"title":"Providing a Control System for Charging Electric Vehicles Using ANFIS","type":"article-journal","volume":"2024"},"uris":["http://www.mendeley.com/documents/?uuid=da244d98-966c-471c-bcdf-1e7f02bd3174"]},{"id":"ITEM-3","itemData":{"DOI":"10.1109/ACCESS.2025.3535571","author":[{"dropping-particle":"","family":"Gul","given":"Bibi Tabassam","non-dropping-particle":"","parse-names":false,"suffix":""},{"dropping-particle":"","family":"Ahmad","given":"Iftikhar","non-dropping-particle":"","parse-names":false,"suffix":""}],"container-title":"IEEE Access","id":"ITEM-3","issue":"December 2024","issued":{"date-parts":[["2025"]]},"page":"20361-20373","publisher":"IEEE","title":"Optimized ANFIS-Based Robust Nonlinear Control of a Solar Off-Grid Charging Station for Electric Vehicles","type":"article-journal","volume":"13"},"uris":["http://www.mendeley.com/documents/?uuid=3e2e2688-4d10-4b38-9a1b-34c98ed3e45c"]}],"mendeley":{"formattedCitation":"[4], [21], [24]","plainTextFormattedCitation":"[4], [21], [24]","previouslyFormattedCitation":"[4], [20], [23]"},"properties":{"noteIndex":0},"schema":"https://github.com/citation-style-language/schema/raw/master/csl-citation.json"}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14:textFill>
            <w14:solidFill>
              <w14:schemeClr w14:val="tx1"/>
            </w14:solidFill>
          </w14:textFill>
        </w:rPr>
        <w:t>[4], [21], [24]</w:t>
      </w:r>
      <w:r>
        <w:rPr>
          <w:color w:val="000000" w:themeColor="text1"/>
          <w:lang w:val="en-GB"/>
          <w14:textFill>
            <w14:solidFill>
              <w14:schemeClr w14:val="tx1"/>
            </w14:solidFill>
          </w14:textFill>
        </w:rPr>
        <w:fldChar w:fldCharType="end"/>
      </w:r>
      <w:r>
        <w:rPr>
          <w:color w:val="000000" w:themeColor="text1"/>
          <w14:textFill>
            <w14:solidFill>
              <w14:schemeClr w14:val="tx1"/>
            </w14:solidFill>
          </w14:textFill>
        </w:rPr>
        <w:t>.</w:t>
      </w:r>
    </w:p>
    <w:p w14:paraId="6936A6DF">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14:textFill>
            <w14:solidFill>
              <w14:schemeClr w14:val="tx1"/>
            </w14:solidFill>
          </w14:textFill>
        </w:rPr>
      </w:pPr>
      <w:r>
        <w:rPr>
          <w:color w:val="000000" w:themeColor="text1"/>
          <w14:textFill>
            <w14:solidFill>
              <w14:schemeClr w14:val="tx1"/>
            </w14:solidFill>
          </w14:textFill>
        </w:rPr>
        <w:t>In addition to heat, overcurrent and overcharging are also serious challenges. Too high a current not only accelerates heating, but can also damage the internal structure of the battery, accelerate electrolyte wear, and reduce overall efficiency [25], [26]. Meanwhile, uncontrolled charging beyond the maximum voltage limit can lead to permanent degradation of capacity. Overcharging also has the potential to create chemical instability in the battery, leading to cell bulging or even leakage.</w:t>
      </w:r>
    </w:p>
    <w:p w14:paraId="5480DFEF">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14:textFill>
            <w14:solidFill>
              <w14:schemeClr w14:val="tx1"/>
            </w14:solidFill>
          </w14:textFill>
        </w:rPr>
      </w:pPr>
      <w:r>
        <w:rPr>
          <w:color w:val="000000" w:themeColor="text1"/>
          <w14:textFill>
            <w14:solidFill>
              <w14:schemeClr w14:val="tx1"/>
            </w14:solidFill>
          </w14:textFill>
        </w:rPr>
        <w:t xml:space="preserve">To address this risk, a reliable overcharging prevention system is required, such as real-time voltage and current monitoring, as well as the implementation of smart controls that can stop charging when the parameters have reached safe limits. Efficiency optimization is also an important focus, where the challenge lies in how to balance charging speed with minimal energy loss. Inefficient fast charging not only wastes energy but also accelerates battery aging. In general, while fast charging offers convenience and time efficiency, its implementation must take into account a variety of technical challenges that can affect battery safety and life [27], [28]. </w:t>
      </w:r>
    </w:p>
    <w:p w14:paraId="33880915">
      <w:pPr>
        <w:pStyle w:val="2"/>
        <w:rPr>
          <w:color w:val="000000" w:themeColor="text1"/>
          <w14:textFill>
            <w14:solidFill>
              <w14:schemeClr w14:val="tx1"/>
            </w14:solidFill>
          </w14:textFill>
        </w:rPr>
      </w:pPr>
      <w:r>
        <w:rPr>
          <w:color w:val="000000" w:themeColor="text1"/>
          <w14:textFill>
            <w14:solidFill>
              <w14:schemeClr w14:val="tx1"/>
            </w14:solidFill>
          </w14:textFill>
        </w:rPr>
        <w:t>SYSTEM DESIGN AND METHODOLOGY</w:t>
      </w:r>
      <w:r>
        <w:rPr>
          <w:color w:val="000000" w:themeColor="text1"/>
          <w:lang w:val="en-US"/>
          <w14:textFill>
            <w14:solidFill>
              <w14:schemeClr w14:val="tx1"/>
            </w14:solidFill>
          </w14:textFill>
        </w:rPr>
        <w:t xml:space="preserve"> </w:t>
      </w:r>
    </w:p>
    <w:p w14:paraId="68EF3BC6">
      <w:pPr>
        <w:pStyle w:val="3"/>
        <w:numPr>
          <w:ilvl w:val="0"/>
          <w:numId w:val="9"/>
        </w:numPr>
        <w:rPr>
          <w:rStyle w:val="35"/>
          <w:color w:val="000000" w:themeColor="text1"/>
          <w14:textFill>
            <w14:solidFill>
              <w14:schemeClr w14:val="tx1"/>
            </w14:solidFill>
          </w14:textFill>
        </w:rPr>
      </w:pPr>
      <w:r>
        <w:rPr>
          <w:color w:val="000000" w:themeColor="text1"/>
          <w14:textFill>
            <w14:solidFill>
              <w14:schemeClr w14:val="tx1"/>
            </w14:solidFill>
          </w14:textFill>
        </w:rPr>
        <w:t xml:space="preserve">Overview of the Charging System </w:t>
      </w:r>
      <w:r>
        <w:rPr>
          <w:color w:val="000000" w:themeColor="text1"/>
          <w:lang w:val="en-US"/>
          <w14:textFill>
            <w14:solidFill>
              <w14:schemeClr w14:val="tx1"/>
            </w14:solidFill>
          </w14:textFill>
        </w:rPr>
        <w:t xml:space="preserve"> </w:t>
      </w:r>
    </w:p>
    <w:p w14:paraId="66568A31">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14:textFill>
            <w14:solidFill>
              <w14:schemeClr w14:val="tx1"/>
            </w14:solidFill>
          </w14:textFill>
        </w:rPr>
      </w:pPr>
      <w:r>
        <w:rPr>
          <w:color w:val="000000" w:themeColor="text1"/>
          <w14:textFill>
            <w14:solidFill>
              <w14:schemeClr w14:val="tx1"/>
            </w14:solidFill>
          </w14:textFill>
        </w:rPr>
        <w:t>The architecture of the PID-based fast charging system and the CCCV method are designed to provide efficient, safe, and adaptive charging to battery conditions. The system combines several essential components that work in an integrated closed-loop control framework, allowing dynamic adjustments during the charging process.</w:t>
      </w:r>
    </w:p>
    <w:p w14:paraId="1489E7BA">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14:textFill>
            <w14:solidFill>
              <w14:schemeClr w14:val="tx1"/>
            </w14:solidFill>
          </w14:textFill>
        </w:rPr>
      </w:pPr>
      <w:r>
        <w:rPr>
          <w:color w:val="000000" w:themeColor="text1"/>
          <w14:textFill>
            <w14:solidFill>
              <w14:schemeClr w14:val="tx1"/>
            </w14:solidFill>
          </w14:textFill>
        </w:rPr>
        <w:t>One of the key components of this architecture is the power supply that provides electrical energy with the appropriate capacity and voltage for fast charging. This energy is then fed to a CCCV charger controlled by the PID algorithm, which is in charge of regulating the charging process with two main stages. In the first stage, the battery is charged with constant current until it reaches a certain voltage limit. After that, the charge continues with constant voltage while the current gradually decreases until it reaches the minimum threshold.</w:t>
      </w:r>
    </w:p>
    <w:p w14:paraId="24520C14">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14:textFill>
            <w14:solidFill>
              <w14:schemeClr w14:val="tx1"/>
            </w14:solidFill>
          </w14:textFill>
        </w:rPr>
      </w:pPr>
      <w:r>
        <w:rPr>
          <w:color w:val="000000" w:themeColor="text1"/>
          <w14:textFill>
            <w14:solidFill>
              <w14:schemeClr w14:val="tx1"/>
            </w14:solidFill>
          </w14:textFill>
        </w:rPr>
        <w:t>The PID controller sets the charging parameters in real-time. These controllers receive input from various sensors, such as voltage and current sensors, which monitor the condition of the battery during the charging process, and which monitor the condition of the battery during the charging process. Based on these data, the PID controller adjusts the control signal to maintain current and voltage stability according to the predetermined setpoint [12], [22]. This allows the system to respond quickly and precisely to changes in battery conditions, avoiding the risk of overcharging, overheating, or damage due to voltage instability.</w:t>
      </w:r>
    </w:p>
    <w:p w14:paraId="3CD51B82">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14:textFill>
            <w14:solidFill>
              <w14:schemeClr w14:val="tx1"/>
            </w14:solidFill>
          </w14:textFill>
        </w:rPr>
      </w:pPr>
      <w:r>
        <w:rPr>
          <w:color w:val="000000" w:themeColor="text1"/>
          <w14:textFill>
            <w14:solidFill>
              <w14:schemeClr w14:val="tx1"/>
            </w14:solidFill>
          </w14:textFill>
        </w:rPr>
        <w:t>The entire process is controlled and coordinated by a microcontroller, which serves as the brain of the charging system. The microcontroller runs a closed control algorithm, processes sensor data, and adjusts the output of the charger to meet optimal charging needs. With this approach, the charging system architecture not only ensures energy efficiency, but also extends battery life and increases operational safety levels, especially in the context of fast charging that demands high performance.</w:t>
      </w:r>
    </w:p>
    <w:p w14:paraId="568D1860">
      <w:pPr>
        <w:pStyle w:val="3"/>
        <w:numPr>
          <w:ilvl w:val="0"/>
          <w:numId w:val="9"/>
        </w:numPr>
        <w:rPr>
          <w:rStyle w:val="35"/>
          <w:color w:val="000000" w:themeColor="text1"/>
          <w:lang w:val="en-US"/>
          <w14:textFill>
            <w14:solidFill>
              <w14:schemeClr w14:val="tx1"/>
            </w14:solidFill>
          </w14:textFill>
        </w:rPr>
      </w:pPr>
      <w:r>
        <w:rPr>
          <w:color w:val="000000" w:themeColor="text1"/>
          <w14:textFill>
            <w14:solidFill>
              <w14:schemeClr w14:val="tx1"/>
            </w14:solidFill>
          </w14:textFill>
        </w:rPr>
        <w:t>PID Control Strategy</w:t>
      </w:r>
      <w:r>
        <w:rPr>
          <w:color w:val="000000" w:themeColor="text1"/>
          <w:lang w:val="en-US"/>
          <w14:textFill>
            <w14:solidFill>
              <w14:schemeClr w14:val="tx1"/>
            </w14:solidFill>
          </w14:textFill>
        </w:rPr>
        <w:t xml:space="preserve"> </w:t>
      </w:r>
    </w:p>
    <w:p w14:paraId="7E32F00F">
      <w:pPr>
        <w:rPr>
          <w:color w:val="000000" w:themeColor="text1"/>
          <w14:textFill>
            <w14:solidFill>
              <w14:schemeClr w14:val="tx1"/>
            </w14:solidFill>
          </w14:textFill>
        </w:rPr>
      </w:pPr>
      <w:r>
        <w:rPr>
          <w:color w:val="000000" w:themeColor="text1"/>
          <w14:textFill>
            <w14:solidFill>
              <w14:schemeClr w14:val="tx1"/>
            </w14:solidFill>
          </w14:textFill>
        </w:rPr>
        <w:t>The PID controller is a type of control system that is widely used to regulate various variables in an engineering system, including voltage and temperature. In its setup, the PID controller works by combining three main components, namely proportional (P), integral (I) and derivative (D). The integral component (I) has an important function in reducing steady-state errors over time, by accumulating errors and adjusting the output to slowly but surely correct deviations. Meanwhile, the derivative component (D) plays a role in predicting future errors by analyzing the rate of error change, so that it can help prevent overshoots or excessive spikes in the system. By combining these three components, the PID controller is able to provide stable and responsive control to changing conditions, making it very effective in maintaining voltage and temperature stability in the system it controls. It shows in Figure 2.</w:t>
      </w:r>
    </w:p>
    <w:p w14:paraId="032A415B">
      <w:pPr>
        <w:rPr>
          <w:color w:val="000000" w:themeColor="text1"/>
          <w14:textFill>
            <w14:solidFill>
              <w14:schemeClr w14:val="tx1"/>
            </w14:solidFill>
          </w14:textFill>
        </w:rPr>
      </w:pPr>
      <w:r>
        <w:rPr>
          <w:color w:val="000000" w:themeColor="text1"/>
          <w14:textFill>
            <w14:solidFill>
              <w14:schemeClr w14:val="tx1"/>
            </w14:solidFill>
          </w14:textFill>
        </w:rPr>
        <w:t>Figure 2 illustrates the implementation of PID control in both current and voltage regulation. In part (a), the PID controller regulates the charging current during the constant current (CC) phase by comparing the measured current with the reference set point and adjusting the duty cycle accordingly. In part (b), during the constant voltage (CV) phase, the controller maintains the output voltage at the predefined level by modifying the control signal based on the voltage error. Both sub-figures highlight the real-time feedback loop that ensures the system operates within safe and efficient charging parameters.</w:t>
      </w:r>
    </w:p>
    <w:p w14:paraId="26500485">
      <w:pPr>
        <w:rPr>
          <w:color w:val="000000" w:themeColor="text1"/>
          <w14:textFill>
            <w14:solidFill>
              <w14:schemeClr w14:val="tx1"/>
            </w14:solidFill>
          </w14:textFill>
        </w:rPr>
      </w:pPr>
      <w:r>
        <w:rPr>
          <w:color w:val="000000" w:themeColor="text1"/>
          <w14:textFill>
            <w14:solidFill>
              <w14:schemeClr w14:val="tx1"/>
            </w14:solidFill>
          </w14:textFill>
        </w:rPr>
        <w:t>The PID controller used in this study was implemented using the PID_v2 library in embedded C. The tuning parameters were selected on the basis of iterative trial-and-error testing to achieve a balance between fast response and stability for current regulation during the constant current (CC) phase. The final PID gains used were proportional gain (Kp): 1.0; Integral gain (Ki): 0.5; Derivative gain (Kd): 0.0. The PID controller was configured in Direct mode, and the initial setpoint for current was set to 1.0 A. The output of the PID algorithm was used to adjust the duty cycle of the charging circuit via PWM control. Given that derivative action can introduce noise and instability in real-time embedded systems, the derivative gain was deliberately set to zero. The sampling time was implicitly controlled by the main loop execution, which was designed to run at approximately 100 ms intervals. This configuration allowed the system to maintain current within the desired limits during charging, providing smooth and safe operation without overshoot.</w:t>
      </w:r>
    </w:p>
    <w:p w14:paraId="4E9E5860">
      <w:pPr>
        <w:pStyle w:val="3"/>
        <w:numPr>
          <w:ilvl w:val="0"/>
          <w:numId w:val="9"/>
        </w:numPr>
        <w:rPr>
          <w:rStyle w:val="35"/>
          <w:color w:val="000000" w:themeColor="text1"/>
          <w:lang w:val="en-US"/>
          <w14:textFill>
            <w14:solidFill>
              <w14:schemeClr w14:val="tx1"/>
            </w14:solidFill>
          </w14:textFill>
        </w:rPr>
      </w:pPr>
      <w:r>
        <w:rPr>
          <w:color w:val="000000" w:themeColor="text1"/>
          <w14:textFill>
            <w14:solidFill>
              <w14:schemeClr w14:val="tx1"/>
            </w14:solidFill>
          </w14:textFill>
        </w:rPr>
        <w:t>Closed-Loop Control Implementation</w:t>
      </w:r>
      <w:r>
        <w:rPr>
          <w:color w:val="000000" w:themeColor="text1"/>
          <w:lang w:val="en-US"/>
          <w14:textFill>
            <w14:solidFill>
              <w14:schemeClr w14:val="tx1"/>
            </w14:solidFill>
          </w14:textFill>
        </w:rPr>
        <w:t xml:space="preserve"> </w:t>
      </w:r>
    </w:p>
    <w:p w14:paraId="7C86DDB1">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14:textFill>
            <w14:solidFill>
              <w14:schemeClr w14:val="tx1"/>
            </w14:solidFill>
          </w14:textFill>
        </w:rPr>
      </w:pPr>
      <w:r>
        <w:rPr>
          <w:color w:val="000000" w:themeColor="text1"/>
          <w:sz w:val="20"/>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-36195</wp:posOffset>
                </wp:positionH>
                <wp:positionV relativeFrom="paragraph">
                  <wp:posOffset>175895</wp:posOffset>
                </wp:positionV>
                <wp:extent cx="3004185" cy="2668270"/>
                <wp:effectExtent l="0" t="0" r="0" b="0"/>
                <wp:wrapTopAndBottom/>
                <wp:docPr id="9" name="Rectangles 9"/>
                <wp:cNvGraphicFramePr/>
                <a:graphic xmlns:a="http://schemas.openxmlformats.org/drawingml/2006/main">
                  <a:graphicData uri="http://schemas.microsoft.com/office/word/2010/wordprocessingShape">
                    <wps:wsp>
                      <wps:cNvSpPr/>
                      <wps:spPr>
                        <a:xfrm>
                          <a:off x="889000" y="6744970"/>
                          <a:ext cx="3004185" cy="2668270"/>
                        </a:xfrm>
                        <a:prstGeom prst="rect">
                          <a:avLst/>
                        </a:prstGeom>
                        <a:noFill/>
                        <a:ln>
                          <a:noFill/>
                        </a:ln>
                        <a:extLst>
                          <a:ext uri="{909E8E84-426E-40DD-AFC4-6F175D3DCCD1}">
                            <a14:hiddenFill xmlns:a14="http://schemas.microsoft.com/office/drawing/2010/main">
                              <a:solidFill>
                                <a:schemeClr val="accent1"/>
                              </a:solidFill>
                            </a14:hiddenFill>
                          </a:ext>
                        </a:extLst>
                      </wps:spPr>
                      <wps:style>
                        <a:lnRef idx="2">
                          <a:schemeClr val="accent1">
                            <a:lumMod val="75000"/>
                          </a:schemeClr>
                        </a:lnRef>
                        <a:fillRef idx="1">
                          <a:schemeClr val="accent1"/>
                        </a:fillRef>
                        <a:effectRef idx="0">
                          <a:srgbClr val="FFFFFF"/>
                        </a:effectRef>
                        <a:fontRef idx="minor">
                          <a:schemeClr val="lt1"/>
                        </a:fontRef>
                      </wps:style>
                      <wps:txbx>
                        <w:txbxContent>
                          <w:p w14:paraId="4EA65852">
                            <w:pPr>
                              <w:ind w:firstLine="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2809875" cy="986790"/>
                                  <wp:effectExtent l="0" t="0" r="9525" b="3810"/>
                                  <wp:docPr id="2237283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28314"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821706" cy="991194"/>
                                          </a:xfrm>
                                          <a:prstGeom prst="rect">
                                            <a:avLst/>
                                          </a:prstGeom>
                                          <a:noFill/>
                                          <a:ln>
                                            <a:noFill/>
                                          </a:ln>
                                        </pic:spPr>
                                      </pic:pic>
                                    </a:graphicData>
                                  </a:graphic>
                                </wp:inline>
                              </w:drawing>
                            </w:r>
                          </w:p>
                          <w:p w14:paraId="46B64F5D">
                            <w:pPr>
                              <w:pStyle w:val="37"/>
                              <w:keepNext w:val="0"/>
                              <w:keepLines w:val="0"/>
                              <w:pageBreakBefore w:val="0"/>
                              <w:widowControl w:val="0"/>
                              <w:kinsoku/>
                              <w:wordWrap/>
                              <w:overflowPunct/>
                              <w:topLinePunct w:val="0"/>
                              <w:bidi w:val="0"/>
                              <w:adjustRightInd/>
                              <w:snapToGrid/>
                              <w:spacing w:after="60"/>
                              <w:ind w:firstLine="0"/>
                              <w:jc w:val="center"/>
                              <w:textAlignment w:val="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(a)</w:t>
                            </w:r>
                          </w:p>
                          <w:p w14:paraId="22330E09">
                            <w:pPr>
                              <w:ind w:firstLine="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2752725" cy="1043940"/>
                                  <wp:effectExtent l="0" t="0" r="5715" b="7620"/>
                                  <wp:docPr id="5253315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3151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71987" cy="1051652"/>
                                          </a:xfrm>
                                          <a:prstGeom prst="rect">
                                            <a:avLst/>
                                          </a:prstGeom>
                                          <a:noFill/>
                                          <a:ln>
                                            <a:noFill/>
                                          </a:ln>
                                        </pic:spPr>
                                      </pic:pic>
                                    </a:graphicData>
                                  </a:graphic>
                                </wp:inline>
                              </w:drawing>
                            </w:r>
                          </w:p>
                          <w:p w14:paraId="540BF69B">
                            <w:pPr>
                              <w:pStyle w:val="37"/>
                              <w:keepNext w:val="0"/>
                              <w:keepLines w:val="0"/>
                              <w:pageBreakBefore w:val="0"/>
                              <w:widowControl w:val="0"/>
                              <w:kinsoku/>
                              <w:wordWrap/>
                              <w:overflowPunct/>
                              <w:topLinePunct w:val="0"/>
                              <w:bidi w:val="0"/>
                              <w:adjustRightInd/>
                              <w:snapToGrid/>
                              <w:spacing w:after="60"/>
                              <w:ind w:firstLine="0"/>
                              <w:jc w:val="center"/>
                              <w:textAlignment w:val="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w:t>
                            </w:r>
                          </w:p>
                          <w:p w14:paraId="653F9C63">
                            <w:pPr>
                              <w:pStyle w:val="37"/>
                              <w:ind w:firstLine="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Figure 2. PID </w:t>
                            </w:r>
                            <w:r>
                              <w:rPr>
                                <w:rFonts w:hint="default"/>
                                <w:color w:val="000000" w:themeColor="text1"/>
                                <w:sz w:val="18"/>
                                <w:szCs w:val="18"/>
                                <w:lang w:val="en-US"/>
                                <w14:textFill>
                                  <w14:solidFill>
                                    <w14:schemeClr w14:val="tx1"/>
                                  </w14:solidFill>
                                </w14:textFill>
                              </w:rPr>
                              <w:t>C</w:t>
                            </w:r>
                            <w:r>
                              <w:rPr>
                                <w:color w:val="000000" w:themeColor="text1"/>
                                <w:sz w:val="18"/>
                                <w:szCs w:val="18"/>
                                <w14:textFill>
                                  <w14:solidFill>
                                    <w14:schemeClr w14:val="tx1"/>
                                  </w14:solidFill>
                                </w14:textFill>
                              </w:rPr>
                              <w:t xml:space="preserve">ontroller </w:t>
                            </w:r>
                            <w:r>
                              <w:rPr>
                                <w:rFonts w:hint="default"/>
                                <w:color w:val="000000" w:themeColor="text1"/>
                                <w:sz w:val="18"/>
                                <w:szCs w:val="18"/>
                                <w:lang w:val="en-US"/>
                                <w14:textFill>
                                  <w14:solidFill>
                                    <w14:schemeClr w14:val="tx1"/>
                                  </w14:solidFill>
                                </w14:textFill>
                              </w:rPr>
                              <w:t>S</w:t>
                            </w:r>
                            <w:r>
                              <w:rPr>
                                <w:color w:val="000000" w:themeColor="text1"/>
                                <w:sz w:val="18"/>
                                <w:szCs w:val="18"/>
                                <w14:textFill>
                                  <w14:solidFill>
                                    <w14:schemeClr w14:val="tx1"/>
                                  </w14:solidFill>
                                </w14:textFill>
                              </w:rPr>
                              <w:t xml:space="preserve">chematic: (a) </w:t>
                            </w:r>
                            <w:r>
                              <w:rPr>
                                <w:rFonts w:hint="default"/>
                                <w:color w:val="000000" w:themeColor="text1"/>
                                <w:sz w:val="18"/>
                                <w:szCs w:val="18"/>
                                <w:lang w:val="en-US"/>
                                <w14:textFill>
                                  <w14:solidFill>
                                    <w14:schemeClr w14:val="tx1"/>
                                  </w14:solidFill>
                                </w14:textFill>
                              </w:rPr>
                              <w:t>C</w:t>
                            </w:r>
                            <w:r>
                              <w:rPr>
                                <w:color w:val="000000" w:themeColor="text1"/>
                                <w:sz w:val="18"/>
                                <w:szCs w:val="18"/>
                                <w14:textFill>
                                  <w14:solidFill>
                                    <w14:schemeClr w14:val="tx1"/>
                                  </w14:solidFill>
                                </w14:textFill>
                              </w:rPr>
                              <w:t>urrent, (b)</w:t>
                            </w:r>
                            <w:r>
                              <w:rPr>
                                <w:rFonts w:hint="default"/>
                                <w:color w:val="000000" w:themeColor="text1"/>
                                <w:sz w:val="18"/>
                                <w:szCs w:val="18"/>
                                <w:lang w:val="en-US"/>
                                <w14:textFill>
                                  <w14:solidFill>
                                    <w14:schemeClr w14:val="tx1"/>
                                  </w14:solidFill>
                                </w14:textFill>
                              </w:rPr>
                              <w:t>V</w:t>
                            </w:r>
                            <w:r>
                              <w:rPr>
                                <w:color w:val="000000" w:themeColor="text1"/>
                                <w:sz w:val="18"/>
                                <w:szCs w:val="18"/>
                                <w14:textFill>
                                  <w14:solidFill>
                                    <w14:schemeClr w14:val="tx1"/>
                                  </w14:solidFill>
                                </w14:textFill>
                              </w:rPr>
                              <w:t>oltage</w:t>
                            </w:r>
                          </w:p>
                          <w:p w14:paraId="1B37D348">
                            <w:pPr>
                              <w:jc w:val="center"/>
                              <w:rPr>
                                <w:color w:val="000000" w:themeColor="text1"/>
                                <w:sz w:val="18"/>
                                <w:szCs w:val="18"/>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5pt;margin-top:13.85pt;height:210.1pt;width:236.55pt;mso-wrap-distance-bottom:0pt;mso-wrap-distance-top:0pt;z-index:251664384;v-text-anchor:middle;mso-width-relative:page;mso-height-relative:page;" filled="f" stroked="f" coordsize="21600,21600" o:gfxdata="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fT3FP2AAAAAkBAAAPAAAAAAAAAAEA&#10;IAAAACIAAABkcnMvZG93bnJldi54bWxQSwECFAAUAAAACACHTuJA5ywYcboCAACOBQAADgAAAAAA&#10;AAABACAAAAAnAQAAZHJzL2Uyb0RvYy54bWxQSwUGAAAAAAYABgBZAQAAUwYAAAAA&#10;">
                <v:fill on="f" focussize="0,0"/>
                <v:stroke on="f" weight="2pt"/>
                <v:imagedata o:title=""/>
                <o:lock v:ext="edit" aspectratio="f"/>
                <v:textbox>
                  <w:txbxContent>
                    <w:p w14:paraId="4EA65852">
                      <w:pPr>
                        <w:ind w:firstLine="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2809875" cy="986790"/>
                            <wp:effectExtent l="0" t="0" r="9525" b="3810"/>
                            <wp:docPr id="2237283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28314"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821706" cy="991194"/>
                                    </a:xfrm>
                                    <a:prstGeom prst="rect">
                                      <a:avLst/>
                                    </a:prstGeom>
                                    <a:noFill/>
                                    <a:ln>
                                      <a:noFill/>
                                    </a:ln>
                                  </pic:spPr>
                                </pic:pic>
                              </a:graphicData>
                            </a:graphic>
                          </wp:inline>
                        </w:drawing>
                      </w:r>
                    </w:p>
                    <w:p w14:paraId="46B64F5D">
                      <w:pPr>
                        <w:pStyle w:val="37"/>
                        <w:keepNext w:val="0"/>
                        <w:keepLines w:val="0"/>
                        <w:pageBreakBefore w:val="0"/>
                        <w:widowControl w:val="0"/>
                        <w:kinsoku/>
                        <w:wordWrap/>
                        <w:overflowPunct/>
                        <w:topLinePunct w:val="0"/>
                        <w:bidi w:val="0"/>
                        <w:adjustRightInd/>
                        <w:snapToGrid/>
                        <w:spacing w:after="60"/>
                        <w:ind w:firstLine="0"/>
                        <w:jc w:val="center"/>
                        <w:textAlignment w:val="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(a)</w:t>
                      </w:r>
                    </w:p>
                    <w:p w14:paraId="22330E09">
                      <w:pPr>
                        <w:ind w:firstLine="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2752725" cy="1043940"/>
                            <wp:effectExtent l="0" t="0" r="5715" b="7620"/>
                            <wp:docPr id="5253315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3151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71987" cy="1051652"/>
                                    </a:xfrm>
                                    <a:prstGeom prst="rect">
                                      <a:avLst/>
                                    </a:prstGeom>
                                    <a:noFill/>
                                    <a:ln>
                                      <a:noFill/>
                                    </a:ln>
                                  </pic:spPr>
                                </pic:pic>
                              </a:graphicData>
                            </a:graphic>
                          </wp:inline>
                        </w:drawing>
                      </w:r>
                    </w:p>
                    <w:p w14:paraId="540BF69B">
                      <w:pPr>
                        <w:pStyle w:val="37"/>
                        <w:keepNext w:val="0"/>
                        <w:keepLines w:val="0"/>
                        <w:pageBreakBefore w:val="0"/>
                        <w:widowControl w:val="0"/>
                        <w:kinsoku/>
                        <w:wordWrap/>
                        <w:overflowPunct/>
                        <w:topLinePunct w:val="0"/>
                        <w:bidi w:val="0"/>
                        <w:adjustRightInd/>
                        <w:snapToGrid/>
                        <w:spacing w:after="60"/>
                        <w:ind w:firstLine="0"/>
                        <w:jc w:val="center"/>
                        <w:textAlignment w:val="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w:t>
                      </w:r>
                    </w:p>
                    <w:p w14:paraId="653F9C63">
                      <w:pPr>
                        <w:pStyle w:val="37"/>
                        <w:ind w:firstLine="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Figure 2. PID </w:t>
                      </w:r>
                      <w:r>
                        <w:rPr>
                          <w:rFonts w:hint="default"/>
                          <w:color w:val="000000" w:themeColor="text1"/>
                          <w:sz w:val="18"/>
                          <w:szCs w:val="18"/>
                          <w:lang w:val="en-US"/>
                          <w14:textFill>
                            <w14:solidFill>
                              <w14:schemeClr w14:val="tx1"/>
                            </w14:solidFill>
                          </w14:textFill>
                        </w:rPr>
                        <w:t>C</w:t>
                      </w:r>
                      <w:r>
                        <w:rPr>
                          <w:color w:val="000000" w:themeColor="text1"/>
                          <w:sz w:val="18"/>
                          <w:szCs w:val="18"/>
                          <w14:textFill>
                            <w14:solidFill>
                              <w14:schemeClr w14:val="tx1"/>
                            </w14:solidFill>
                          </w14:textFill>
                        </w:rPr>
                        <w:t xml:space="preserve">ontroller </w:t>
                      </w:r>
                      <w:r>
                        <w:rPr>
                          <w:rFonts w:hint="default"/>
                          <w:color w:val="000000" w:themeColor="text1"/>
                          <w:sz w:val="18"/>
                          <w:szCs w:val="18"/>
                          <w:lang w:val="en-US"/>
                          <w14:textFill>
                            <w14:solidFill>
                              <w14:schemeClr w14:val="tx1"/>
                            </w14:solidFill>
                          </w14:textFill>
                        </w:rPr>
                        <w:t>S</w:t>
                      </w:r>
                      <w:r>
                        <w:rPr>
                          <w:color w:val="000000" w:themeColor="text1"/>
                          <w:sz w:val="18"/>
                          <w:szCs w:val="18"/>
                          <w14:textFill>
                            <w14:solidFill>
                              <w14:schemeClr w14:val="tx1"/>
                            </w14:solidFill>
                          </w14:textFill>
                        </w:rPr>
                        <w:t xml:space="preserve">chematic: (a) </w:t>
                      </w:r>
                      <w:r>
                        <w:rPr>
                          <w:rFonts w:hint="default"/>
                          <w:color w:val="000000" w:themeColor="text1"/>
                          <w:sz w:val="18"/>
                          <w:szCs w:val="18"/>
                          <w:lang w:val="en-US"/>
                          <w14:textFill>
                            <w14:solidFill>
                              <w14:schemeClr w14:val="tx1"/>
                            </w14:solidFill>
                          </w14:textFill>
                        </w:rPr>
                        <w:t>C</w:t>
                      </w:r>
                      <w:r>
                        <w:rPr>
                          <w:color w:val="000000" w:themeColor="text1"/>
                          <w:sz w:val="18"/>
                          <w:szCs w:val="18"/>
                          <w14:textFill>
                            <w14:solidFill>
                              <w14:schemeClr w14:val="tx1"/>
                            </w14:solidFill>
                          </w14:textFill>
                        </w:rPr>
                        <w:t>urrent, (b)</w:t>
                      </w:r>
                      <w:r>
                        <w:rPr>
                          <w:rFonts w:hint="default"/>
                          <w:color w:val="000000" w:themeColor="text1"/>
                          <w:sz w:val="18"/>
                          <w:szCs w:val="18"/>
                          <w:lang w:val="en-US"/>
                          <w14:textFill>
                            <w14:solidFill>
                              <w14:schemeClr w14:val="tx1"/>
                            </w14:solidFill>
                          </w14:textFill>
                        </w:rPr>
                        <w:t>V</w:t>
                      </w:r>
                      <w:r>
                        <w:rPr>
                          <w:color w:val="000000" w:themeColor="text1"/>
                          <w:sz w:val="18"/>
                          <w:szCs w:val="18"/>
                          <w14:textFill>
                            <w14:solidFill>
                              <w14:schemeClr w14:val="tx1"/>
                            </w14:solidFill>
                          </w14:textFill>
                        </w:rPr>
                        <w:t>oltage</w:t>
                      </w:r>
                    </w:p>
                    <w:p w14:paraId="1B37D348">
                      <w:pPr>
                        <w:jc w:val="center"/>
                        <w:rPr>
                          <w:color w:val="000000" w:themeColor="text1"/>
                          <w:sz w:val="18"/>
                          <w:szCs w:val="18"/>
                          <w14:textFill>
                            <w14:solidFill>
                              <w14:schemeClr w14:val="tx1"/>
                            </w14:solidFill>
                          </w14:textFill>
                        </w:rPr>
                      </w:pPr>
                    </w:p>
                  </w:txbxContent>
                </v:textbox>
                <w10:wrap type="topAndBottom"/>
              </v:rect>
            </w:pict>
          </mc:Fallback>
        </mc:AlternateContent>
      </w:r>
      <w:r>
        <w:rPr>
          <w:color w:val="000000" w:themeColor="text1"/>
          <w14:textFill>
            <w14:solidFill>
              <w14:schemeClr w14:val="tx1"/>
            </w14:solidFill>
          </w14:textFill>
        </w:rPr>
        <w:t>The implementation of a closed-loop control system is essential in the battery charging process to ensure efficiency and safety. In this system, sensors are used to continuously monitor the voltage and temperature of the battery during the charging process. The data obtained from this sensor are then sent as feedback to the PID controller. Based on this real-time information, the PID controller will adjust the charging parameters, such as current and voltage, to keep the charging condition stable and in accordance with the safe limits.</w:t>
      </w:r>
    </w:p>
    <w:p w14:paraId="5064CFB0">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14:textFill>
            <w14:solidFill>
              <w14:schemeClr w14:val="tx1"/>
            </w14:solidFill>
          </w14:textFill>
        </w:rPr>
      </w:pPr>
      <w:r>
        <w:rPr>
          <w:color w:val="000000" w:themeColor="text1"/>
          <w14:textFill>
            <w14:solidFill>
              <w14:schemeClr w14:val="tx1"/>
            </w14:solidFill>
          </w14:textFill>
        </w:rPr>
        <w:t>The charging method used is CCCV. In the CC stage, the system controls the charging current to remain constant with the help of feedback from the current sensor. Once the battery voltage reaches a certain limit, the system switches to the CV stage, where the voltage is kept stable while the current slowly decreases. Voltage control at this stage is highly dependent on the system's response to voltage feedback. By integrating the closed-loop control system and the CCCV method, the battery charging process becomes safer, more efficient, and able to extend the battery life. The flow chart of the CCCV method is shown in figure 3.</w:t>
      </w:r>
    </w:p>
    <w:p w14:paraId="68E6AD74">
      <w:pPr>
        <w:pStyle w:val="3"/>
        <w:rPr>
          <w:color w:val="000000" w:themeColor="text1"/>
          <w14:textFill>
            <w14:solidFill>
              <w14:schemeClr w14:val="tx1"/>
            </w14:solidFill>
          </w14:textFill>
        </w:rPr>
      </w:pPr>
      <w:r>
        <w:rPr>
          <w:color w:val="000000" w:themeColor="text1"/>
          <w14:textFill>
            <w14:solidFill>
              <w14:schemeClr w14:val="tx1"/>
            </w14:solidFill>
          </w14:textFill>
        </w:rPr>
        <w:t>Experimental Setup</w:t>
      </w:r>
      <w:r>
        <w:rPr>
          <w:color w:val="000000" w:themeColor="text1"/>
          <w:lang w:val="en-US"/>
          <w14:textFill>
            <w14:solidFill>
              <w14:schemeClr w14:val="tx1"/>
            </w14:solidFill>
          </w14:textFill>
        </w:rPr>
        <w:t xml:space="preserve"> </w:t>
      </w:r>
    </w:p>
    <w:p w14:paraId="5D326EE2">
      <w:pPr>
        <w:rPr>
          <w:color w:val="000000" w:themeColor="text1"/>
          <w14:textFill>
            <w14:solidFill>
              <w14:schemeClr w14:val="tx1"/>
            </w14:solidFill>
          </w14:textFill>
        </w:rPr>
      </w:pPr>
      <w:r>
        <w:rPr>
          <w:color w:val="000000" w:themeColor="text1"/>
          <w:sz w:val="20"/>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1905</wp:posOffset>
                </wp:positionH>
                <wp:positionV relativeFrom="paragraph">
                  <wp:posOffset>1369060</wp:posOffset>
                </wp:positionV>
                <wp:extent cx="2929255" cy="4370705"/>
                <wp:effectExtent l="0" t="0" r="0" b="0"/>
                <wp:wrapTopAndBottom/>
                <wp:docPr id="10" name="Rectangles 10"/>
                <wp:cNvGraphicFramePr/>
                <a:graphic xmlns:a="http://schemas.openxmlformats.org/drawingml/2006/main">
                  <a:graphicData uri="http://schemas.microsoft.com/office/word/2010/wordprocessingShape">
                    <wps:wsp>
                      <wps:cNvSpPr/>
                      <wps:spPr>
                        <a:xfrm>
                          <a:off x="3962400" y="5104765"/>
                          <a:ext cx="2929255" cy="4370705"/>
                        </a:xfrm>
                        <a:prstGeom prst="rect">
                          <a:avLst/>
                        </a:prstGeom>
                        <a:noFill/>
                        <a:ln>
                          <a:noFill/>
                        </a:ln>
                        <a:extLst>
                          <a:ext uri="{909E8E84-426E-40DD-AFC4-6F175D3DCCD1}">
                            <a14:hiddenFill xmlns:a14="http://schemas.microsoft.com/office/drawing/2010/main">
                              <a:solidFill>
                                <a:schemeClr val="accent1"/>
                              </a:solidFill>
                            </a14:hiddenFill>
                          </a:ext>
                        </a:extLst>
                      </wps:spPr>
                      <wps:style>
                        <a:lnRef idx="2">
                          <a:schemeClr val="accent1">
                            <a:lumMod val="75000"/>
                          </a:schemeClr>
                        </a:lnRef>
                        <a:fillRef idx="1">
                          <a:schemeClr val="accent1"/>
                        </a:fillRef>
                        <a:effectRef idx="0">
                          <a:srgbClr val="FFFFFF"/>
                        </a:effectRef>
                        <a:fontRef idx="minor">
                          <a:schemeClr val="lt1"/>
                        </a:fontRef>
                      </wps:style>
                      <wps:txbx>
                        <w:txbxContent>
                          <w:p w14:paraId="083DBFEE">
                            <w:pPr>
                              <w:ind w:firstLine="0"/>
                              <w:rPr>
                                <w:color w:val="000000" w:themeColor="text1"/>
                                <w:sz w:val="18"/>
                                <w:szCs w:val="18"/>
                                <w:lang w:val="en-GB"/>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2879725" cy="4112260"/>
                                  <wp:effectExtent l="0" t="0" r="635" b="2540"/>
                                  <wp:docPr id="2037429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29271"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879725" cy="4112548"/>
                                          </a:xfrm>
                                          <a:prstGeom prst="rect">
                                            <a:avLst/>
                                          </a:prstGeom>
                                          <a:noFill/>
                                          <a:ln>
                                            <a:noFill/>
                                          </a:ln>
                                        </pic:spPr>
                                      </pic:pic>
                                    </a:graphicData>
                                  </a:graphic>
                                </wp:inline>
                              </w:drawing>
                            </w:r>
                          </w:p>
                          <w:p w14:paraId="18DC6456">
                            <w:pPr>
                              <w:ind w:left="0" w:leftChars="0" w:firstLine="0" w:firstLineChars="0"/>
                              <w:jc w:val="center"/>
                              <w:rPr>
                                <w:color w:val="000000" w:themeColor="text1"/>
                                <w:sz w:val="18"/>
                                <w:szCs w:val="18"/>
                                <w:lang w:val="en-GB"/>
                                <w14:textFill>
                                  <w14:solidFill>
                                    <w14:schemeClr w14:val="tx1"/>
                                  </w14:solidFill>
                                </w14:textFill>
                              </w:rPr>
                            </w:pPr>
                            <w:r>
                              <w:rPr>
                                <w:color w:val="000000" w:themeColor="text1"/>
                                <w:sz w:val="18"/>
                                <w:szCs w:val="18"/>
                                <w14:textFill>
                                  <w14:solidFill>
                                    <w14:schemeClr w14:val="tx1"/>
                                  </w14:solidFill>
                                </w14:textFill>
                              </w:rPr>
                              <w:t xml:space="preserve">Figure 3. The </w:t>
                            </w:r>
                            <w:r>
                              <w:rPr>
                                <w:rFonts w:hint="default"/>
                                <w:color w:val="000000" w:themeColor="text1"/>
                                <w:sz w:val="18"/>
                                <w:szCs w:val="18"/>
                                <w:lang w:val="en-US"/>
                                <w14:textFill>
                                  <w14:solidFill>
                                    <w14:schemeClr w14:val="tx1"/>
                                  </w14:solidFill>
                                </w14:textFill>
                              </w:rPr>
                              <w:t>F</w:t>
                            </w:r>
                            <w:r>
                              <w:rPr>
                                <w:color w:val="000000" w:themeColor="text1"/>
                                <w:sz w:val="18"/>
                                <w:szCs w:val="18"/>
                                <w14:textFill>
                                  <w14:solidFill>
                                    <w14:schemeClr w14:val="tx1"/>
                                  </w14:solidFill>
                                </w14:textFill>
                              </w:rPr>
                              <w:t xml:space="preserve">low </w:t>
                            </w:r>
                            <w:r>
                              <w:rPr>
                                <w:rFonts w:hint="default"/>
                                <w:color w:val="000000" w:themeColor="text1"/>
                                <w:sz w:val="18"/>
                                <w:szCs w:val="18"/>
                                <w:lang w:val="en-US"/>
                                <w14:textFill>
                                  <w14:solidFill>
                                    <w14:schemeClr w14:val="tx1"/>
                                  </w14:solidFill>
                                </w14:textFill>
                              </w:rPr>
                              <w:t>C</w:t>
                            </w:r>
                            <w:r>
                              <w:rPr>
                                <w:color w:val="000000" w:themeColor="text1"/>
                                <w:sz w:val="18"/>
                                <w:szCs w:val="18"/>
                                <w14:textFill>
                                  <w14:solidFill>
                                    <w14:schemeClr w14:val="tx1"/>
                                  </w14:solidFill>
                                </w14:textFill>
                              </w:rPr>
                              <w:t xml:space="preserve">hart of the CCCV </w:t>
                            </w:r>
                            <w:r>
                              <w:rPr>
                                <w:rFonts w:hint="default"/>
                                <w:color w:val="000000" w:themeColor="text1"/>
                                <w:sz w:val="18"/>
                                <w:szCs w:val="18"/>
                                <w:lang w:val="en-US"/>
                                <w14:textFill>
                                  <w14:solidFill>
                                    <w14:schemeClr w14:val="tx1"/>
                                  </w14:solidFill>
                                </w14:textFill>
                              </w:rPr>
                              <w:t>M</w:t>
                            </w:r>
                            <w:r>
                              <w:rPr>
                                <w:color w:val="000000" w:themeColor="text1"/>
                                <w:sz w:val="18"/>
                                <w:szCs w:val="18"/>
                                <w14:textFill>
                                  <w14:solidFill>
                                    <w14:schemeClr w14:val="tx1"/>
                                  </w14:solidFill>
                                </w14:textFill>
                              </w:rPr>
                              <w:t>ethod</w:t>
                            </w:r>
                          </w:p>
                          <w:p w14:paraId="2A0A6B0C">
                            <w:pPr>
                              <w:jc w:val="center"/>
                              <w:rPr>
                                <w:color w:val="000000" w:themeColor="text1"/>
                                <w:sz w:val="18"/>
                                <w:szCs w:val="18"/>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5pt;margin-top:107.8pt;height:344.15pt;width:230.65pt;mso-wrap-distance-bottom:0pt;mso-wrap-distance-top:0pt;z-index:251665408;v-text-anchor:middle;mso-width-relative:page;mso-height-relative:page;" filled="f" stroked="f" coordsize="21600,21600" o:gfxdata="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CsMmss2AAAAAgBAAAPAAAA&#10;AAAAAAEAIAAAACIAAABkcnMvZG93bnJldi54bWxQSwECFAAUAAAACACHTuJAkAthYcACAACRBQAA&#10;DgAAAAAAAAABACAAAAAnAQAAZHJzL2Uyb0RvYy54bWxQSwUGAAAAAAYABgBZAQAAWQYAAAAA&#10;">
                <v:fill on="f" focussize="0,0"/>
                <v:stroke on="f" weight="2pt"/>
                <v:imagedata o:title=""/>
                <o:lock v:ext="edit" aspectratio="f"/>
                <v:textbox>
                  <w:txbxContent>
                    <w:p w14:paraId="083DBFEE">
                      <w:pPr>
                        <w:ind w:firstLine="0"/>
                        <w:rPr>
                          <w:color w:val="000000" w:themeColor="text1"/>
                          <w:sz w:val="18"/>
                          <w:szCs w:val="18"/>
                          <w:lang w:val="en-GB"/>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2879725" cy="4112260"/>
                            <wp:effectExtent l="0" t="0" r="635" b="2540"/>
                            <wp:docPr id="2037429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29271"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879725" cy="4112548"/>
                                    </a:xfrm>
                                    <a:prstGeom prst="rect">
                                      <a:avLst/>
                                    </a:prstGeom>
                                    <a:noFill/>
                                    <a:ln>
                                      <a:noFill/>
                                    </a:ln>
                                  </pic:spPr>
                                </pic:pic>
                              </a:graphicData>
                            </a:graphic>
                          </wp:inline>
                        </w:drawing>
                      </w:r>
                    </w:p>
                    <w:p w14:paraId="18DC6456">
                      <w:pPr>
                        <w:ind w:left="0" w:leftChars="0" w:firstLine="0" w:firstLineChars="0"/>
                        <w:jc w:val="center"/>
                        <w:rPr>
                          <w:color w:val="000000" w:themeColor="text1"/>
                          <w:sz w:val="18"/>
                          <w:szCs w:val="18"/>
                          <w:lang w:val="en-GB"/>
                          <w14:textFill>
                            <w14:solidFill>
                              <w14:schemeClr w14:val="tx1"/>
                            </w14:solidFill>
                          </w14:textFill>
                        </w:rPr>
                      </w:pPr>
                      <w:r>
                        <w:rPr>
                          <w:color w:val="000000" w:themeColor="text1"/>
                          <w:sz w:val="18"/>
                          <w:szCs w:val="18"/>
                          <w14:textFill>
                            <w14:solidFill>
                              <w14:schemeClr w14:val="tx1"/>
                            </w14:solidFill>
                          </w14:textFill>
                        </w:rPr>
                        <w:t xml:space="preserve">Figure 3. The </w:t>
                      </w:r>
                      <w:r>
                        <w:rPr>
                          <w:rFonts w:hint="default"/>
                          <w:color w:val="000000" w:themeColor="text1"/>
                          <w:sz w:val="18"/>
                          <w:szCs w:val="18"/>
                          <w:lang w:val="en-US"/>
                          <w14:textFill>
                            <w14:solidFill>
                              <w14:schemeClr w14:val="tx1"/>
                            </w14:solidFill>
                          </w14:textFill>
                        </w:rPr>
                        <w:t>F</w:t>
                      </w:r>
                      <w:r>
                        <w:rPr>
                          <w:color w:val="000000" w:themeColor="text1"/>
                          <w:sz w:val="18"/>
                          <w:szCs w:val="18"/>
                          <w14:textFill>
                            <w14:solidFill>
                              <w14:schemeClr w14:val="tx1"/>
                            </w14:solidFill>
                          </w14:textFill>
                        </w:rPr>
                        <w:t xml:space="preserve">low </w:t>
                      </w:r>
                      <w:r>
                        <w:rPr>
                          <w:rFonts w:hint="default"/>
                          <w:color w:val="000000" w:themeColor="text1"/>
                          <w:sz w:val="18"/>
                          <w:szCs w:val="18"/>
                          <w:lang w:val="en-US"/>
                          <w14:textFill>
                            <w14:solidFill>
                              <w14:schemeClr w14:val="tx1"/>
                            </w14:solidFill>
                          </w14:textFill>
                        </w:rPr>
                        <w:t>C</w:t>
                      </w:r>
                      <w:r>
                        <w:rPr>
                          <w:color w:val="000000" w:themeColor="text1"/>
                          <w:sz w:val="18"/>
                          <w:szCs w:val="18"/>
                          <w14:textFill>
                            <w14:solidFill>
                              <w14:schemeClr w14:val="tx1"/>
                            </w14:solidFill>
                          </w14:textFill>
                        </w:rPr>
                        <w:t xml:space="preserve">hart of the CCCV </w:t>
                      </w:r>
                      <w:r>
                        <w:rPr>
                          <w:rFonts w:hint="default"/>
                          <w:color w:val="000000" w:themeColor="text1"/>
                          <w:sz w:val="18"/>
                          <w:szCs w:val="18"/>
                          <w:lang w:val="en-US"/>
                          <w14:textFill>
                            <w14:solidFill>
                              <w14:schemeClr w14:val="tx1"/>
                            </w14:solidFill>
                          </w14:textFill>
                        </w:rPr>
                        <w:t>M</w:t>
                      </w:r>
                      <w:r>
                        <w:rPr>
                          <w:color w:val="000000" w:themeColor="text1"/>
                          <w:sz w:val="18"/>
                          <w:szCs w:val="18"/>
                          <w14:textFill>
                            <w14:solidFill>
                              <w14:schemeClr w14:val="tx1"/>
                            </w14:solidFill>
                          </w14:textFill>
                        </w:rPr>
                        <w:t>ethod</w:t>
                      </w:r>
                    </w:p>
                    <w:p w14:paraId="2A0A6B0C">
                      <w:pPr>
                        <w:jc w:val="center"/>
                        <w:rPr>
                          <w:color w:val="000000" w:themeColor="text1"/>
                          <w:sz w:val="18"/>
                          <w:szCs w:val="18"/>
                          <w14:textFill>
                            <w14:solidFill>
                              <w14:schemeClr w14:val="tx1"/>
                            </w14:solidFill>
                          </w14:textFill>
                        </w:rPr>
                      </w:pPr>
                    </w:p>
                  </w:txbxContent>
                </v:textbox>
                <w10:wrap type="topAndBottom"/>
              </v:rect>
            </w:pict>
          </mc:Fallback>
        </mc:AlternateContent>
      </w:r>
      <w:r>
        <w:rPr>
          <w:color w:val="000000" w:themeColor="text1"/>
          <w14:textFill>
            <w14:solidFill>
              <w14:schemeClr w14:val="tx1"/>
            </w14:solidFill>
          </w14:textFill>
        </w:rPr>
        <w:t>The design and testing of the charging system involves the integration between hardware and software that support each other. A prototype charger was developed specifically by embedding a PID controller inside. These controllers are implemented in the form of embedded software that runs on microcontrollers or other embedded systems. The main function of this software is to process the sensor data and provide an appropriate response to changes in voltage and temperature during the battery charging process.</w:t>
      </w:r>
    </w:p>
    <w:p w14:paraId="376A0505">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14:textFill>
            <w14:solidFill>
              <w14:schemeClr w14:val="tx1"/>
            </w14:solidFill>
          </w14:textFill>
        </w:rPr>
      </w:pPr>
      <w:r>
        <w:rPr>
          <w:color w:val="000000" w:themeColor="text1"/>
          <w14:textFill>
            <w14:solidFill>
              <w14:schemeClr w14:val="tx1"/>
            </w14:solidFill>
          </w14:textFill>
        </w:rPr>
        <w:t>To thoroughly test the performance of the prototype, a series of tests were carried out using various battery models. Each type of battery has different characteristics, so it is important to ensure that the charging system is able to flexibly adjust the control parameters. Through this test, the performance of the PID controller can be evaluated, including its effectiveness in regulating current and voltage during the charging process. The results of this test are also the basis for improving the hardware and software so that the charging system is more optimal and adapts to various battery conditions.</w:t>
      </w:r>
      <w:r>
        <w:rPr>
          <w:rFonts w:ascii="Arial" w:hAnsi="Arial" w:cs="Arial" w:eastAsiaTheme="minorHAnsi"/>
          <w:color w:val="000000" w:themeColor="text1"/>
          <w:kern w:val="2"/>
          <w:sz w:val="22"/>
          <w14:textFill>
            <w14:solidFill>
              <w14:schemeClr w14:val="tx1"/>
            </w14:solidFill>
          </w14:textFill>
          <w14:ligatures w14:val="standardContextual"/>
        </w:rPr>
        <w:t xml:space="preserve"> </w:t>
      </w:r>
      <w:r>
        <w:rPr>
          <w:color w:val="000000" w:themeColor="text1"/>
          <w14:textFill>
            <w14:solidFill>
              <w14:schemeClr w14:val="tx1"/>
            </w14:solidFill>
          </w14:textFill>
        </w:rPr>
        <w:t>A prototype charger is developed with an embedded PID controller, and tests are conducted using different battery models. The photograph of the experimental setup of the system is shown in Figure 4.</w:t>
      </w:r>
    </w:p>
    <w:p w14:paraId="430A061B">
      <w:pPr>
        <w:pStyle w:val="2"/>
        <w:rPr>
          <w:color w:val="000000" w:themeColor="text1"/>
          <w14:textFill>
            <w14:solidFill>
              <w14:schemeClr w14:val="tx1"/>
            </w14:solidFill>
          </w14:textFill>
        </w:rPr>
      </w:pPr>
      <w:r>
        <w:rPr>
          <w:color w:val="000000" w:themeColor="text1"/>
          <w14:textFill>
            <w14:solidFill>
              <w14:schemeClr w14:val="tx1"/>
            </w14:solidFill>
          </w14:textFill>
        </w:rPr>
        <w:t xml:space="preserve">Results and Discussion </w:t>
      </w:r>
    </w:p>
    <w:p w14:paraId="3A22B8DF">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The measurement results show in Figure 5 that the charging process occurs in three main phases that are common in PWM-based battery charging systems: bulk, absorption, and float charging. In the initial phase (0–30 minutes), the charging current is in a relatively stable high range, around 0.8 A. This indicates that the system prioritizes fast charging to efficiently fill the battery capacity. After the 30th minute, the current begins to decrease gradually until it reaches 0 A at the 90th minute, indicating the system's transition to the absorption phase and then the float phase, where charging is carried out more slowly to maintain battery life and avoid overcharging.</w:t>
      </w:r>
    </w:p>
    <w:p w14:paraId="49F2425E">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Meanwhile, the charging voltage shows an increasing trend from around 11.6 V to around 12.6 V. A significant increase occurs between the 30th and 35th minutes, coinciding with the decrease in current, indicating the system entering the absorption phase. After reaching the maximum point, the voltage tends to remain stable with small fluctuations, indicating precise voltage control during the charging process.</w:t>
      </w:r>
    </w:p>
    <w:p w14:paraId="702A1FDC">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sz w:val="20"/>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-238760</wp:posOffset>
                </wp:positionH>
                <wp:positionV relativeFrom="paragraph">
                  <wp:posOffset>312420</wp:posOffset>
                </wp:positionV>
                <wp:extent cx="3180080" cy="2835910"/>
                <wp:effectExtent l="0" t="0" r="0" b="0"/>
                <wp:wrapTopAndBottom/>
                <wp:docPr id="11" name="Rectangles 11"/>
                <wp:cNvGraphicFramePr/>
                <a:graphic xmlns:a="http://schemas.openxmlformats.org/drawingml/2006/main">
                  <a:graphicData uri="http://schemas.microsoft.com/office/word/2010/wordprocessingShape">
                    <wps:wsp>
                      <wps:cNvSpPr/>
                      <wps:spPr>
                        <a:xfrm>
                          <a:off x="854710" y="7948295"/>
                          <a:ext cx="3180080" cy="2835910"/>
                        </a:xfrm>
                        <a:prstGeom prst="rect">
                          <a:avLst/>
                        </a:prstGeom>
                        <a:noFill/>
                        <a:ln>
                          <a:noFill/>
                        </a:ln>
                        <a:extLst>
                          <a:ext uri="{909E8E84-426E-40DD-AFC4-6F175D3DCCD1}">
                            <a14:hiddenFill xmlns:a14="http://schemas.microsoft.com/office/drawing/2010/main">
                              <a:solidFill>
                                <a:schemeClr val="accent1"/>
                              </a:solidFill>
                            </a14:hiddenFill>
                          </a:ext>
                        </a:extLst>
                      </wps:spPr>
                      <wps:style>
                        <a:lnRef idx="2">
                          <a:schemeClr val="accent1">
                            <a:lumMod val="75000"/>
                          </a:schemeClr>
                        </a:lnRef>
                        <a:fillRef idx="1">
                          <a:schemeClr val="accent1"/>
                        </a:fillRef>
                        <a:effectRef idx="0">
                          <a:srgbClr val="FFFFFF"/>
                        </a:effectRef>
                        <a:fontRef idx="minor">
                          <a:schemeClr val="lt1"/>
                        </a:fontRef>
                      </wps:style>
                      <wps:txbx>
                        <w:txbxContent>
                          <w:p w14:paraId="2CAD15DB">
                            <w:pPr>
                              <w:ind w:firstLine="0"/>
                              <w:jc w:val="center"/>
                              <w:rPr>
                                <w:b w:val="0"/>
                                <w:bCs w:val="0"/>
                                <w:color w:val="000000" w:themeColor="text1"/>
                                <w:sz w:val="18"/>
                                <w:szCs w:val="18"/>
                                <w:lang w:val="en-US"/>
                                <w14:textFill>
                                  <w14:solidFill>
                                    <w14:schemeClr w14:val="tx1"/>
                                  </w14:solidFill>
                                </w14:textFill>
                              </w:rPr>
                            </w:pPr>
                            <w:r>
                              <w:rPr>
                                <w:b w:val="0"/>
                                <w:bCs w:val="0"/>
                                <w:color w:val="000000" w:themeColor="text1"/>
                                <w:sz w:val="18"/>
                                <w:szCs w:val="18"/>
                                <w14:textFill>
                                  <w14:solidFill>
                                    <w14:schemeClr w14:val="tx1"/>
                                  </w14:solidFill>
                                </w14:textFill>
                              </w:rPr>
                              <w:drawing>
                                <wp:inline distT="0" distB="0" distL="0" distR="0">
                                  <wp:extent cx="3045460" cy="2569210"/>
                                  <wp:effectExtent l="0" t="0" r="0" b="0"/>
                                  <wp:docPr id="6648878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87847" name="Picture 3"/>
                                          <pic:cNvPicPr>
                                            <a:picLocks noChangeAspect="1" noChangeArrowheads="1"/>
                                          </pic:cNvPicPr>
                                        </pic:nvPicPr>
                                        <pic:blipFill>
                                          <a:blip r:embed="rId14">
                                            <a:extLst>
                                              <a:ext uri="{28A0092B-C50C-407E-A947-70E740481C1C}">
                                                <a14:useLocalDpi xmlns:a14="http://schemas.microsoft.com/office/drawing/2010/main" val="0"/>
                                              </a:ext>
                                            </a:extLst>
                                          </a:blip>
                                          <a:srcRect l="-1510" r="443"/>
                                          <a:stretch>
                                            <a:fillRect/>
                                          </a:stretch>
                                        </pic:blipFill>
                                        <pic:spPr>
                                          <a:xfrm>
                                            <a:off x="0" y="0"/>
                                            <a:ext cx="3045460" cy="2574161"/>
                                          </a:xfrm>
                                          <a:prstGeom prst="rect">
                                            <a:avLst/>
                                          </a:prstGeom>
                                          <a:noFill/>
                                          <a:ln>
                                            <a:noFill/>
                                          </a:ln>
                                        </pic:spPr>
                                      </pic:pic>
                                    </a:graphicData>
                                  </a:graphic>
                                </wp:inline>
                              </w:drawing>
                            </w:r>
                          </w:p>
                          <w:p w14:paraId="2D4352B9">
                            <w:pPr>
                              <w:ind w:left="0" w:leftChars="0" w:firstLine="0" w:firstLineChars="0"/>
                              <w:jc w:val="center"/>
                              <w:rPr>
                                <w:b w:val="0"/>
                                <w:bCs w:val="0"/>
                                <w:color w:val="000000" w:themeColor="text1"/>
                                <w:sz w:val="18"/>
                                <w:szCs w:val="18"/>
                                <w:lang w:val="en-US"/>
                                <w14:textFill>
                                  <w14:solidFill>
                                    <w14:schemeClr w14:val="tx1"/>
                                  </w14:solidFill>
                                </w14:textFill>
                              </w:rPr>
                            </w:pPr>
                            <w:r>
                              <w:rPr>
                                <w:b w:val="0"/>
                                <w:bCs w:val="0"/>
                                <w:color w:val="000000" w:themeColor="text1"/>
                                <w:sz w:val="18"/>
                                <w:szCs w:val="18"/>
                                <w14:textFill>
                                  <w14:solidFill>
                                    <w14:schemeClr w14:val="tx1"/>
                                  </w14:solidFill>
                                </w14:textFill>
                              </w:rPr>
                              <w:t xml:space="preserve">Figure 4. </w:t>
                            </w:r>
                            <w:r>
                              <w:rPr>
                                <w:b w:val="0"/>
                                <w:bCs w:val="0"/>
                                <w:color w:val="000000" w:themeColor="text1"/>
                                <w:sz w:val="18"/>
                                <w:szCs w:val="18"/>
                                <w:lang w:val="en-US"/>
                                <w14:textFill>
                                  <w14:solidFill>
                                    <w14:schemeClr w14:val="tx1"/>
                                  </w14:solidFill>
                                </w14:textFill>
                              </w:rPr>
                              <w:t>E</w:t>
                            </w:r>
                            <w:r>
                              <w:rPr>
                                <w:b w:val="0"/>
                                <w:bCs w:val="0"/>
                                <w:color w:val="000000" w:themeColor="text1"/>
                                <w:sz w:val="18"/>
                                <w:szCs w:val="18"/>
                                <w14:textFill>
                                  <w14:solidFill>
                                    <w14:schemeClr w14:val="tx1"/>
                                  </w14:solidFill>
                                </w14:textFill>
                              </w:rPr>
                              <w:t xml:space="preserve">xperimental </w:t>
                            </w:r>
                            <w:r>
                              <w:rPr>
                                <w:rFonts w:hint="default"/>
                                <w:b w:val="0"/>
                                <w:bCs w:val="0"/>
                                <w:color w:val="000000" w:themeColor="text1"/>
                                <w:sz w:val="18"/>
                                <w:szCs w:val="18"/>
                                <w:lang w:val="en-US"/>
                                <w14:textFill>
                                  <w14:solidFill>
                                    <w14:schemeClr w14:val="tx1"/>
                                  </w14:solidFill>
                                </w14:textFill>
                              </w:rPr>
                              <w:t>S</w:t>
                            </w:r>
                            <w:r>
                              <w:rPr>
                                <w:b w:val="0"/>
                                <w:bCs w:val="0"/>
                                <w:color w:val="000000" w:themeColor="text1"/>
                                <w:sz w:val="18"/>
                                <w:szCs w:val="18"/>
                                <w14:textFill>
                                  <w14:solidFill>
                                    <w14:schemeClr w14:val="tx1"/>
                                  </w14:solidFill>
                                </w14:textFill>
                              </w:rPr>
                              <w:t>etup</w:t>
                            </w:r>
                          </w:p>
                          <w:p w14:paraId="205D3E52">
                            <w:pPr>
                              <w:ind w:left="0" w:leftChars="0" w:firstLine="0" w:firstLineChars="0"/>
                              <w:jc w:val="center"/>
                              <w:rPr>
                                <w:b w:val="0"/>
                                <w:bCs w:val="0"/>
                                <w:color w:val="000000" w:themeColor="text1"/>
                                <w:sz w:val="18"/>
                                <w:szCs w:val="18"/>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8pt;margin-top:24.6pt;height:223.3pt;width:250.4pt;mso-wrap-distance-bottom:0pt;mso-wrap-distance-top:0pt;z-index:251666432;v-text-anchor:middle;mso-width-relative:page;mso-height-relative:page;" filled="f" stroked="f" coordsize="21600,21600" o:gfxdata="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B1TPxjZAAAACgEAAA8A&#10;AAAAAAAAAQAgAAAAIgAAAGRycy9kb3ducmV2LnhtbFBLAQIUABQAAAAIAIdO4kDTskRpwQIAAJAF&#10;AAAOAAAAAAAAAAEAIAAAACgBAABkcnMvZTJvRG9jLnhtbFBLBQYAAAAABgAGAFkBAABbBgAAAAA=&#10;">
                <v:fill on="f" focussize="0,0"/>
                <v:stroke on="f" weight="2pt"/>
                <v:imagedata o:title=""/>
                <o:lock v:ext="edit" aspectratio="f"/>
                <v:textbox>
                  <w:txbxContent>
                    <w:p w14:paraId="2CAD15DB">
                      <w:pPr>
                        <w:ind w:firstLine="0"/>
                        <w:jc w:val="center"/>
                        <w:rPr>
                          <w:b w:val="0"/>
                          <w:bCs w:val="0"/>
                          <w:color w:val="000000" w:themeColor="text1"/>
                          <w:sz w:val="18"/>
                          <w:szCs w:val="18"/>
                          <w:lang w:val="en-US"/>
                          <w14:textFill>
                            <w14:solidFill>
                              <w14:schemeClr w14:val="tx1"/>
                            </w14:solidFill>
                          </w14:textFill>
                        </w:rPr>
                      </w:pPr>
                      <w:r>
                        <w:rPr>
                          <w:b w:val="0"/>
                          <w:bCs w:val="0"/>
                          <w:color w:val="000000" w:themeColor="text1"/>
                          <w:sz w:val="18"/>
                          <w:szCs w:val="18"/>
                          <w14:textFill>
                            <w14:solidFill>
                              <w14:schemeClr w14:val="tx1"/>
                            </w14:solidFill>
                          </w14:textFill>
                        </w:rPr>
                        <w:drawing>
                          <wp:inline distT="0" distB="0" distL="0" distR="0">
                            <wp:extent cx="3045460" cy="2569210"/>
                            <wp:effectExtent l="0" t="0" r="0" b="0"/>
                            <wp:docPr id="6648878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87847" name="Picture 3"/>
                                    <pic:cNvPicPr>
                                      <a:picLocks noChangeAspect="1" noChangeArrowheads="1"/>
                                    </pic:cNvPicPr>
                                  </pic:nvPicPr>
                                  <pic:blipFill>
                                    <a:blip r:embed="rId14">
                                      <a:extLst>
                                        <a:ext uri="{28A0092B-C50C-407E-A947-70E740481C1C}">
                                          <a14:useLocalDpi xmlns:a14="http://schemas.microsoft.com/office/drawing/2010/main" val="0"/>
                                        </a:ext>
                                      </a:extLst>
                                    </a:blip>
                                    <a:srcRect l="-1510" r="443"/>
                                    <a:stretch>
                                      <a:fillRect/>
                                    </a:stretch>
                                  </pic:blipFill>
                                  <pic:spPr>
                                    <a:xfrm>
                                      <a:off x="0" y="0"/>
                                      <a:ext cx="3045460" cy="2574161"/>
                                    </a:xfrm>
                                    <a:prstGeom prst="rect">
                                      <a:avLst/>
                                    </a:prstGeom>
                                    <a:noFill/>
                                    <a:ln>
                                      <a:noFill/>
                                    </a:ln>
                                  </pic:spPr>
                                </pic:pic>
                              </a:graphicData>
                            </a:graphic>
                          </wp:inline>
                        </w:drawing>
                      </w:r>
                    </w:p>
                    <w:p w14:paraId="2D4352B9">
                      <w:pPr>
                        <w:ind w:left="0" w:leftChars="0" w:firstLine="0" w:firstLineChars="0"/>
                        <w:jc w:val="center"/>
                        <w:rPr>
                          <w:b w:val="0"/>
                          <w:bCs w:val="0"/>
                          <w:color w:val="000000" w:themeColor="text1"/>
                          <w:sz w:val="18"/>
                          <w:szCs w:val="18"/>
                          <w:lang w:val="en-US"/>
                          <w14:textFill>
                            <w14:solidFill>
                              <w14:schemeClr w14:val="tx1"/>
                            </w14:solidFill>
                          </w14:textFill>
                        </w:rPr>
                      </w:pPr>
                      <w:r>
                        <w:rPr>
                          <w:b w:val="0"/>
                          <w:bCs w:val="0"/>
                          <w:color w:val="000000" w:themeColor="text1"/>
                          <w:sz w:val="18"/>
                          <w:szCs w:val="18"/>
                          <w14:textFill>
                            <w14:solidFill>
                              <w14:schemeClr w14:val="tx1"/>
                            </w14:solidFill>
                          </w14:textFill>
                        </w:rPr>
                        <w:t xml:space="preserve">Figure 4. </w:t>
                      </w:r>
                      <w:r>
                        <w:rPr>
                          <w:b w:val="0"/>
                          <w:bCs w:val="0"/>
                          <w:color w:val="000000" w:themeColor="text1"/>
                          <w:sz w:val="18"/>
                          <w:szCs w:val="18"/>
                          <w:lang w:val="en-US"/>
                          <w14:textFill>
                            <w14:solidFill>
                              <w14:schemeClr w14:val="tx1"/>
                            </w14:solidFill>
                          </w14:textFill>
                        </w:rPr>
                        <w:t>E</w:t>
                      </w:r>
                      <w:r>
                        <w:rPr>
                          <w:b w:val="0"/>
                          <w:bCs w:val="0"/>
                          <w:color w:val="000000" w:themeColor="text1"/>
                          <w:sz w:val="18"/>
                          <w:szCs w:val="18"/>
                          <w14:textFill>
                            <w14:solidFill>
                              <w14:schemeClr w14:val="tx1"/>
                            </w14:solidFill>
                          </w14:textFill>
                        </w:rPr>
                        <w:t xml:space="preserve">xperimental </w:t>
                      </w:r>
                      <w:r>
                        <w:rPr>
                          <w:rFonts w:hint="default"/>
                          <w:b w:val="0"/>
                          <w:bCs w:val="0"/>
                          <w:color w:val="000000" w:themeColor="text1"/>
                          <w:sz w:val="18"/>
                          <w:szCs w:val="18"/>
                          <w:lang w:val="en-US"/>
                          <w14:textFill>
                            <w14:solidFill>
                              <w14:schemeClr w14:val="tx1"/>
                            </w14:solidFill>
                          </w14:textFill>
                        </w:rPr>
                        <w:t>S</w:t>
                      </w:r>
                      <w:r>
                        <w:rPr>
                          <w:b w:val="0"/>
                          <w:bCs w:val="0"/>
                          <w:color w:val="000000" w:themeColor="text1"/>
                          <w:sz w:val="18"/>
                          <w:szCs w:val="18"/>
                          <w14:textFill>
                            <w14:solidFill>
                              <w14:schemeClr w14:val="tx1"/>
                            </w14:solidFill>
                          </w14:textFill>
                        </w:rPr>
                        <w:t>etup</w:t>
                      </w:r>
                    </w:p>
                    <w:p w14:paraId="205D3E52">
                      <w:pPr>
                        <w:ind w:left="0" w:leftChars="0" w:firstLine="0" w:firstLineChars="0"/>
                        <w:jc w:val="center"/>
                        <w:rPr>
                          <w:b w:val="0"/>
                          <w:bCs w:val="0"/>
                          <w:color w:val="000000" w:themeColor="text1"/>
                          <w:sz w:val="18"/>
                          <w:szCs w:val="18"/>
                          <w14:textFill>
                            <w14:solidFill>
                              <w14:schemeClr w14:val="tx1"/>
                            </w14:solidFill>
                          </w14:textFill>
                        </w:rPr>
                      </w:pPr>
                    </w:p>
                  </w:txbxContent>
                </v:textbox>
                <w10:wrap type="topAndBottom"/>
              </v:rect>
            </w:pict>
          </mc:Fallback>
        </mc:AlternateContent>
      </w:r>
      <w:r>
        <w:rPr>
          <w:color w:val="000000" w:themeColor="text1"/>
          <w:lang w:val="en-GB"/>
          <w14:textFill>
            <w14:solidFill>
              <w14:schemeClr w14:val="tx1"/>
            </w14:solidFill>
          </w14:textFill>
        </w:rPr>
        <w:t>Furthermore, observation of the duty cycle strengthens the interpretation of the current and voltage behavior. The duty cycle value was initially stable at around 150%, then spiked to around 225% at the 35th minute, which was in line with the voltage spike. After that, the duty cycle decreased gradually until it reached 0% at the end of the charging process. This trend indicates that the system actively adjusts the PWM signal to control the amount of current and voltage transmitted to the battery.</w:t>
      </w:r>
    </w:p>
    <w:p w14:paraId="07604C71">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 xml:space="preserve">In general, the working pattern of the charging system recorded in the graph shows that the charging method with duty cycle control is effective in managing the charging process efficiently and safely. There are no abnormal voltage or current spikes, so it can be concluded that the system works stably and adapts to battery charging conditions. </w:t>
      </w:r>
    </w:p>
    <w:p w14:paraId="248FFDF8">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US"/>
          <w14:textFill>
            <w14:solidFill>
              <w14:schemeClr w14:val="tx1"/>
            </w14:solidFill>
          </w14:textFill>
        </w:rPr>
      </w:pPr>
      <w:r>
        <w:rPr>
          <w:color w:val="000000" w:themeColor="text1"/>
          <w14:textFill>
            <w14:solidFill>
              <w14:schemeClr w14:val="tx1"/>
            </w14:solidFill>
          </w14:textFill>
        </w:rPr>
        <w:t>The energy efficiency of the proposed system was evaluated by comparing the charging time and current profile with that of the conventional CCCV method. The PID-controlled charger completed the charging process in approximately 85 minutes, compared to 145 minutes for the conventional method. This reduction in charge duration reflects a more effective energy transfer process and lower idle current losses, which translates to a reduction in overall power consumption. Furthermore, stable control of the charging current during the bulk phase, without overshoot or prolonged tapering, minimizes energy waste and enhances total system efficiency.</w:t>
      </w:r>
      <w:r>
        <w:rPr>
          <w:color w:val="000000" w:themeColor="text1"/>
          <w:lang w:val="en-US"/>
          <w14:textFill>
            <w14:solidFill>
              <w14:schemeClr w14:val="tx1"/>
            </w14:solidFill>
          </w14:textFill>
        </w:rPr>
        <w:t xml:space="preserve"> </w:t>
      </w:r>
    </w:p>
    <w:p w14:paraId="758ED0C2">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US"/>
          <w14:textFill>
            <w14:solidFill>
              <w14:schemeClr w14:val="tx1"/>
            </w14:solidFill>
          </w14:textFill>
        </w:rPr>
      </w:pPr>
      <w:r>
        <w:rPr>
          <w:color w:val="000000" w:themeColor="text1"/>
          <w:lang w:val="en-US"/>
          <w14:textFill>
            <w14:solidFill>
              <w14:schemeClr w14:val="tx1"/>
            </w14:solidFill>
          </w14:textFill>
        </w:rPr>
        <w:t>Although temperature data was not explicitly recorded during testing, the design of the PID controller contributed to effective thermal management. The smooth transition from the CC to CV phase, without sharp current spikes, helps reduce thermal stress on the battery. Additionally, the absence of current overshoot and the gradual tapering of current imply that the system avoids sudden power surges that could cause overheating. In future work, thermal data logging will be incorporated to quantitatively validate this behavior.</w:t>
      </w:r>
    </w:p>
    <w:p w14:paraId="5B8523FD">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US"/>
          <w14:textFill>
            <w14:solidFill>
              <w14:schemeClr w14:val="tx1"/>
            </w14:solidFill>
          </w14:textFill>
        </w:rPr>
      </w:pPr>
      <w:r>
        <w:rPr>
          <w:color w:val="000000" w:themeColor="text1"/>
          <w:lang w:val="en-US"/>
          <w14:textFill>
            <w14:solidFill>
              <w14:schemeClr w14:val="tx1"/>
            </w14:solidFill>
          </w14:textFill>
        </w:rPr>
        <w:t>The safety of the system is reinforced by the implementation of closed-loop PID control, which prevents both overcurrent and overvoltage conditions. Once the predefined voltage limit is reached, the system transitions to the CV phase, effectively stopping the current rise and avoiding overcharging. Throughout the charging process, the system maintained both voltage and current within the safe operating limits of the battery. No abnormal spikes or instability was observed in the measurements, indicating that the control mechanism ensures safe and reliable operation.</w:t>
      </w:r>
    </w:p>
    <w:p w14:paraId="61DD227E">
      <w:pPr>
        <w:pStyle w:val="3"/>
        <w:numPr>
          <w:ilvl w:val="0"/>
          <w:numId w:val="0"/>
        </w:numPr>
        <w:rPr>
          <w:color w:val="000000" w:themeColor="text1"/>
          <w14:textFill>
            <w14:solidFill>
              <w14:schemeClr w14:val="tx1"/>
            </w14:solidFill>
          </w14:textFill>
        </w:rPr>
      </w:pPr>
      <w:r>
        <w:rPr>
          <w:color w:val="000000" w:themeColor="text1"/>
          <w:lang w:val="en-US"/>
          <w14:textFill>
            <w14:solidFill>
              <w14:schemeClr w14:val="tx1"/>
            </w14:solidFill>
          </w14:textFill>
        </w:rPr>
        <w:t xml:space="preserve">A. </w:t>
      </w:r>
      <w:r>
        <w:rPr>
          <w:rFonts w:hint="default"/>
          <w:color w:val="000000" w:themeColor="text1"/>
          <w:lang w:val="en-US"/>
          <w14:textFill>
            <w14:solidFill>
              <w14:schemeClr w14:val="tx1"/>
            </w14:solidFill>
          </w14:textFill>
        </w:rPr>
        <w:t xml:space="preserve">  </w:t>
      </w:r>
      <w:r>
        <w:rPr>
          <w:color w:val="000000" w:themeColor="text1"/>
          <w14:textFill>
            <w14:solidFill>
              <w14:schemeClr w14:val="tx1"/>
            </w14:solidFill>
          </w14:textFill>
        </w:rPr>
        <w:t xml:space="preserve">Performance Analysis </w:t>
      </w:r>
    </w:p>
    <w:p w14:paraId="7B811BE7">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US"/>
          <w14:textFill>
            <w14:solidFill>
              <w14:schemeClr w14:val="tx1"/>
            </w14:solidFill>
          </w14:textFill>
        </w:rPr>
      </w:pPr>
      <w:r>
        <w:rPr>
          <w:color w:val="000000" w:themeColor="text1"/>
          <w14:textFill>
            <w14:solidFill>
              <w14:schemeClr w14:val="tx1"/>
            </w14:solidFill>
          </w14:textFill>
        </w:rPr>
        <w:t>The results of the analysis show that the PID-controlled charging system is able to achieve a faster and more efficient charging process compared to the conventional CCCV method. On the basis of the graph, the charging current in the initial stage can be kept stably high, allowing the battery to be charged quickly in the bulk phase. Adaptive duty cycle control allows for a smooth transition to the absorption and float phases, with a gradual decrease in current and precisely controlled voltage. This not only improves charging efficiency, but also minimizes power losses. In addition, no significant voltage overshoot was detected, indicating that the PID system successfully stabilized the voltage within a safe range during the charging process. This reduction in overshoot is very important because it contributes to reducing the increase in temperature in the battery, maintaining thermal stability, and extending the service life. Thus, the PID-based charging system not only offers better energy efficiency but also improves overall battery charging safety and reliability.</w:t>
      </w:r>
      <w:r>
        <w:rPr>
          <w:color w:val="000000" w:themeColor="text1"/>
          <w:lang w:val="en-US"/>
          <w14:textFill>
            <w14:solidFill>
              <w14:schemeClr w14:val="tx1"/>
            </w14:solidFill>
          </w14:textFill>
        </w:rPr>
        <w:t xml:space="preserve"> </w:t>
      </w:r>
    </w:p>
    <w:p w14:paraId="25D2D573">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US"/>
          <w14:textFill>
            <w14:solidFill>
              <w14:schemeClr w14:val="tx1"/>
            </w14:solidFill>
          </w14:textFill>
        </w:rPr>
      </w:pPr>
      <w:r>
        <w:rPr>
          <w:color w:val="000000" w:themeColor="text1"/>
          <w:lang w:val="en-US"/>
          <w14:textFill>
            <w14:solidFill>
              <w14:schemeClr w14:val="tx1"/>
            </w14:solidFill>
          </w14:textFill>
        </w:rPr>
        <w:t>The precision of the controlled voltage can be evaluated based on the voltage trend shown in Figure 5. During the CV phase, the voltage stabilizes at approximately 12.6 V with only minor fluctuations of ±0.05 V, remaining within 0.4% deviation from the setpoint. This level of deviation is considered acceptable for lithium-ion charging systems and indicates effective voltage regulation by the PID controller. The absence of any voltage overshoot throughout the charging period further confirms the accuracy of the voltage control.</w:t>
      </w:r>
    </w:p>
    <w:p w14:paraId="23186ED9">
      <w:pPr>
        <w:pStyle w:val="3"/>
        <w:numPr>
          <w:ilvl w:val="0"/>
          <w:numId w:val="10"/>
        </w:numPr>
        <w:rPr>
          <w:color w:val="000000" w:themeColor="text1"/>
          <w14:textFill>
            <w14:solidFill>
              <w14:schemeClr w14:val="tx1"/>
            </w14:solidFill>
          </w14:textFill>
        </w:rPr>
      </w:pPr>
      <w:r>
        <w:rPr>
          <w:color w:val="000000" w:themeColor="text1"/>
          <w:lang w:val="en-US"/>
          <w14:textFill>
            <w14:solidFill>
              <w14:schemeClr w14:val="tx1"/>
            </w14:solidFill>
          </w14:textFill>
        </w:rPr>
        <w:t xml:space="preserve">Current and Voltage Stability </w:t>
      </w:r>
    </w:p>
    <w:p w14:paraId="7B612D1B">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sz w:val="20"/>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-19685</wp:posOffset>
                </wp:positionH>
                <wp:positionV relativeFrom="paragraph">
                  <wp:posOffset>1427480</wp:posOffset>
                </wp:positionV>
                <wp:extent cx="5984875" cy="4038600"/>
                <wp:effectExtent l="0" t="0" r="0" b="0"/>
                <wp:wrapTopAndBottom/>
                <wp:docPr id="12" name="Rectangles 12"/>
                <wp:cNvGraphicFramePr/>
                <a:graphic xmlns:a="http://schemas.openxmlformats.org/drawingml/2006/main">
                  <a:graphicData uri="http://schemas.microsoft.com/office/word/2010/wordprocessingShape">
                    <wps:wsp>
                      <wps:cNvSpPr/>
                      <wps:spPr>
                        <a:xfrm>
                          <a:off x="948055" y="4958080"/>
                          <a:ext cx="5984875" cy="4038600"/>
                        </a:xfrm>
                        <a:prstGeom prst="rect">
                          <a:avLst/>
                        </a:prstGeom>
                        <a:noFill/>
                        <a:ln>
                          <a:noFill/>
                        </a:ln>
                        <a:extLst>
                          <a:ext uri="{909E8E84-426E-40DD-AFC4-6F175D3DCCD1}">
                            <a14:hiddenFill xmlns:a14="http://schemas.microsoft.com/office/drawing/2010/main">
                              <a:solidFill>
                                <a:schemeClr val="accent1"/>
                              </a:solidFill>
                            </a14:hiddenFill>
                          </a:ext>
                        </a:extLst>
                      </wps:spPr>
                      <wps:style>
                        <a:lnRef idx="2">
                          <a:schemeClr val="accent1">
                            <a:lumMod val="75000"/>
                          </a:schemeClr>
                        </a:lnRef>
                        <a:fillRef idx="1">
                          <a:schemeClr val="accent1"/>
                        </a:fillRef>
                        <a:effectRef idx="0">
                          <a:srgbClr val="FFFFFF"/>
                        </a:effectRef>
                        <a:fontRef idx="minor">
                          <a:schemeClr val="lt1"/>
                        </a:fontRef>
                      </wps:style>
                      <wps:txbx>
                        <w:txbxContent>
                          <w:p w14:paraId="3276EC8E">
                            <w:pPr>
                              <w:ind w:firstLine="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5553075" cy="3776980"/>
                                  <wp:effectExtent l="0" t="0" r="952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564750" cy="3785552"/>
                                          </a:xfrm>
                                          <a:prstGeom prst="rect">
                                            <a:avLst/>
                                          </a:prstGeom>
                                          <a:noFill/>
                                          <a:ln>
                                            <a:noFill/>
                                          </a:ln>
                                        </pic:spPr>
                                      </pic:pic>
                                    </a:graphicData>
                                  </a:graphic>
                                </wp:inline>
                              </w:drawing>
                            </w:r>
                          </w:p>
                          <w:p w14:paraId="5CAAE835">
                            <w:pPr>
                              <w:ind w:left="0" w:leftChars="0" w:firstLine="0" w:firstLineChars="0"/>
                              <w:jc w:val="center"/>
                              <w:rPr>
                                <w:color w:val="000000" w:themeColor="text1"/>
                                <w:sz w:val="18"/>
                                <w:szCs w:val="18"/>
                                <w14:textFill>
                                  <w14:solidFill>
                                    <w14:schemeClr w14:val="tx1"/>
                                  </w14:solidFill>
                                </w14:textFill>
                              </w:rPr>
                            </w:pPr>
                            <w:r>
                              <w:rPr>
                                <w:b w:val="0"/>
                                <w:bCs w:val="0"/>
                                <w:color w:val="000000" w:themeColor="text1"/>
                                <w:sz w:val="18"/>
                                <w:szCs w:val="16"/>
                                <w14:textFill>
                                  <w14:solidFill>
                                    <w14:schemeClr w14:val="tx1"/>
                                  </w14:solidFill>
                                </w14:textFill>
                              </w:rPr>
                              <w:t>Figure 5</w:t>
                            </w:r>
                            <w:r>
                              <w:rPr>
                                <w:color w:val="000000" w:themeColor="text1"/>
                                <w:sz w:val="18"/>
                                <w:szCs w:val="18"/>
                                <w14:textFill>
                                  <w14:solidFill>
                                    <w14:schemeClr w14:val="tx1"/>
                                  </w14:solidFill>
                                </w14:textFill>
                              </w:rPr>
                              <w:t>. Graph of the Relationship Between Current, Voltage and Duty Cycle</w:t>
                            </w:r>
                          </w:p>
                          <w:p w14:paraId="73A6D2AC">
                            <w:pPr>
                              <w:jc w:val="center"/>
                              <w:rPr>
                                <w:color w:val="000000" w:themeColor="text1"/>
                                <w:sz w:val="18"/>
                                <w:szCs w:val="18"/>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5pt;margin-top:112.4pt;height:318pt;width:471.25pt;mso-wrap-distance-bottom:0pt;mso-wrap-distance-top:0pt;z-index:251667456;v-text-anchor:middle;mso-width-relative:page;mso-height-relative:page;" filled="f" stroked="f" coordsize="21600,21600" o:gfxdata="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RAPRNkAAAAKAQAADwAA&#10;AAAAAAABACAAAAAiAAAAZHJzL2Rvd25yZXYueG1sUEsBAhQAFAAAAAgAh07iQHFX0jrAAgAAkAUA&#10;AA4AAAAAAAAAAQAgAAAAKAEAAGRycy9lMm9Eb2MueG1sUEsFBgAAAAAGAAYAWQEAAFoGAAAAAA==&#10;">
                <v:fill on="f" focussize="0,0"/>
                <v:stroke on="f" weight="2pt"/>
                <v:imagedata o:title=""/>
                <o:lock v:ext="edit" aspectratio="f"/>
                <v:textbox>
                  <w:txbxContent>
                    <w:p w14:paraId="3276EC8E">
                      <w:pPr>
                        <w:ind w:firstLine="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5553075" cy="3776980"/>
                            <wp:effectExtent l="0" t="0" r="952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564750" cy="3785552"/>
                                    </a:xfrm>
                                    <a:prstGeom prst="rect">
                                      <a:avLst/>
                                    </a:prstGeom>
                                    <a:noFill/>
                                    <a:ln>
                                      <a:noFill/>
                                    </a:ln>
                                  </pic:spPr>
                                </pic:pic>
                              </a:graphicData>
                            </a:graphic>
                          </wp:inline>
                        </w:drawing>
                      </w:r>
                    </w:p>
                    <w:p w14:paraId="5CAAE835">
                      <w:pPr>
                        <w:ind w:left="0" w:leftChars="0" w:firstLine="0" w:firstLineChars="0"/>
                        <w:jc w:val="center"/>
                        <w:rPr>
                          <w:color w:val="000000" w:themeColor="text1"/>
                          <w:sz w:val="18"/>
                          <w:szCs w:val="18"/>
                          <w14:textFill>
                            <w14:solidFill>
                              <w14:schemeClr w14:val="tx1"/>
                            </w14:solidFill>
                          </w14:textFill>
                        </w:rPr>
                      </w:pPr>
                      <w:r>
                        <w:rPr>
                          <w:b w:val="0"/>
                          <w:bCs w:val="0"/>
                          <w:color w:val="000000" w:themeColor="text1"/>
                          <w:sz w:val="18"/>
                          <w:szCs w:val="16"/>
                          <w14:textFill>
                            <w14:solidFill>
                              <w14:schemeClr w14:val="tx1"/>
                            </w14:solidFill>
                          </w14:textFill>
                        </w:rPr>
                        <w:t>Figure 5</w:t>
                      </w:r>
                      <w:r>
                        <w:rPr>
                          <w:color w:val="000000" w:themeColor="text1"/>
                          <w:sz w:val="18"/>
                          <w:szCs w:val="18"/>
                          <w14:textFill>
                            <w14:solidFill>
                              <w14:schemeClr w14:val="tx1"/>
                            </w14:solidFill>
                          </w14:textFill>
                        </w:rPr>
                        <w:t>. Graph of the Relationship Between Current, Voltage and Duty Cycle</w:t>
                      </w:r>
                    </w:p>
                    <w:p w14:paraId="73A6D2AC">
                      <w:pPr>
                        <w:jc w:val="center"/>
                        <w:rPr>
                          <w:color w:val="000000" w:themeColor="text1"/>
                          <w:sz w:val="18"/>
                          <w:szCs w:val="18"/>
                          <w14:textFill>
                            <w14:solidFill>
                              <w14:schemeClr w14:val="tx1"/>
                            </w14:solidFill>
                          </w14:textFill>
                        </w:rPr>
                      </w:pPr>
                    </w:p>
                  </w:txbxContent>
                </v:textbox>
                <w10:wrap type="topAndBottom"/>
              </v:rect>
            </w:pict>
          </mc:Fallback>
        </mc:AlternateContent>
      </w:r>
      <w:r>
        <w:rPr>
          <w:color w:val="000000" w:themeColor="text1"/>
          <w:lang w:val="en-GB"/>
          <w14:textFill>
            <w14:solidFill>
              <w14:schemeClr w14:val="tx1"/>
            </w14:solidFill>
          </w14:textFill>
        </w:rPr>
        <w:t>The stability of current and voltage are crucial factors in maintaining battery performance and longevity. The PID control system applied to the charging process has been proven to minimize temperature fluctuations by dynamically adjusting the charging current according to the real-time conditions of the battery. From the graph, it can be seen that the current gradually decreases over time, without any sharp fluctuations, indicating a stable system response to changes in charging status. This has a direct impact on the thermal stability of the battery, reducing the risk of overheating during charging.</w:t>
      </w:r>
    </w:p>
    <w:p w14:paraId="5A0C6070">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However, the voltage is also controlled very stably. After experiencing a gradual increase at the beginning, the voltage is maintained at a safe upper limit without experiencing an overshoot. This control plays an important role in preventing overcharging, which can damage the chemical structure of the battery and reduce the cycle efficiency. With consistent voltage stabilization, the system not only maintains safety during charging but also significantly increases overall battery life.</w:t>
      </w:r>
    </w:p>
    <w:p w14:paraId="0262B0E7">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The PID control system applied to the charging process minimizes current fluctuations by dynamically adjusting the charging current according to the real-time condition of the battery. Although temperature monitoring was not implemented in this experiment, gradual current tampering and absence of current overshoot inherently reduce the risk of thermal stress. Future studies will include integrated temperature sensing to directly validate the thermal behavior of the system.</w:t>
      </w:r>
    </w:p>
    <w:p w14:paraId="69E1855F">
      <w:pPr>
        <w:pStyle w:val="3"/>
        <w:rPr>
          <w:color w:val="000000" w:themeColor="text1"/>
          <w:lang w:val="en-US"/>
          <w14:textFill>
            <w14:solidFill>
              <w14:schemeClr w14:val="tx1"/>
            </w14:solidFill>
          </w14:textFill>
        </w:rPr>
      </w:pPr>
      <w:r>
        <w:rPr>
          <w:color w:val="000000" w:themeColor="text1"/>
          <w:lang w:val="en-US"/>
          <w14:textFill>
            <w14:solidFill>
              <w14:schemeClr w14:val="tx1"/>
            </w14:solidFill>
          </w14:textFill>
        </w:rPr>
        <w:t>Comparison with Conventional Methods</w:t>
      </w:r>
    </w:p>
    <w:p w14:paraId="0BC67C2F">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The comparison graph between the PID-controlled charging method and the conventional method is shown in figure 6. Significant differences in current and voltage characteristics during the battery charging process. In the left graph, it can be seen that the PID-controlled system maintains the charging current at a high level, which is around 0.85 A, for almost the first 40 minutes. In contrast, the conventional system shows a faster current decrease, starting to drop drastically after the 10th minute. This indicates that the PID-</w:t>
      </w:r>
      <w:bookmarkStart w:id="1" w:name="_GoBack"/>
      <w:bookmarkEnd w:id="1"/>
      <w:r>
        <w:rPr>
          <w:color w:val="000000" w:themeColor="text1"/>
          <w:sz w:val="20"/>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-111125</wp:posOffset>
                </wp:positionH>
                <wp:positionV relativeFrom="paragraph">
                  <wp:posOffset>-43180</wp:posOffset>
                </wp:positionV>
                <wp:extent cx="6103620" cy="2827655"/>
                <wp:effectExtent l="0" t="0" r="0" b="0"/>
                <wp:wrapTopAndBottom/>
                <wp:docPr id="13" name="Rectangles 13"/>
                <wp:cNvGraphicFramePr/>
                <a:graphic xmlns:a="http://schemas.openxmlformats.org/drawingml/2006/main">
                  <a:graphicData uri="http://schemas.microsoft.com/office/word/2010/wordprocessingShape">
                    <wps:wsp>
                      <wps:cNvSpPr/>
                      <wps:spPr>
                        <a:xfrm>
                          <a:off x="889000" y="753110"/>
                          <a:ext cx="6103620" cy="2827655"/>
                        </a:xfrm>
                        <a:prstGeom prst="rect">
                          <a:avLst/>
                        </a:prstGeom>
                        <a:noFill/>
                        <a:ln>
                          <a:noFill/>
                        </a:ln>
                        <a:extLst>
                          <a:ext uri="{909E8E84-426E-40DD-AFC4-6F175D3DCCD1}">
                            <a14:hiddenFill xmlns:a14="http://schemas.microsoft.com/office/drawing/2010/main">
                              <a:solidFill>
                                <a:schemeClr val="accent1"/>
                              </a:solidFill>
                            </a14:hiddenFill>
                          </a:ext>
                        </a:extLst>
                      </wps:spPr>
                      <wps:style>
                        <a:lnRef idx="2">
                          <a:schemeClr val="accent1">
                            <a:lumMod val="75000"/>
                          </a:schemeClr>
                        </a:lnRef>
                        <a:fillRef idx="1">
                          <a:schemeClr val="accent1"/>
                        </a:fillRef>
                        <a:effectRef idx="0">
                          <a:srgbClr val="FFFFFF"/>
                        </a:effectRef>
                        <a:fontRef idx="minor">
                          <a:schemeClr val="lt1"/>
                        </a:fontRef>
                      </wps:style>
                      <wps:txbx>
                        <w:txbxContent>
                          <w:p w14:paraId="2470C137">
                            <w:pPr>
                              <w:ind w:left="0" w:leftChars="0" w:firstLine="0" w:firstLineChars="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5907405" cy="2569210"/>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907405" cy="2569210"/>
                                          </a:xfrm>
                                          <a:prstGeom prst="rect">
                                            <a:avLst/>
                                          </a:prstGeom>
                                          <a:noFill/>
                                          <a:ln>
                                            <a:noFill/>
                                          </a:ln>
                                        </pic:spPr>
                                      </pic:pic>
                                    </a:graphicData>
                                  </a:graphic>
                                </wp:inline>
                              </w:drawing>
                            </w:r>
                          </w:p>
                          <w:p w14:paraId="38DB82C1">
                            <w:pPr>
                              <w:ind w:left="0" w:leftChars="0" w:firstLine="0" w:firstLineChars="0"/>
                              <w:jc w:val="center"/>
                              <w:rPr>
                                <w:color w:val="000000" w:themeColor="text1"/>
                                <w:sz w:val="18"/>
                                <w:szCs w:val="18"/>
                                <w14:textFill>
                                  <w14:solidFill>
                                    <w14:schemeClr w14:val="tx1"/>
                                  </w14:solidFill>
                                </w14:textFill>
                              </w:rPr>
                            </w:pPr>
                            <w:r>
                              <w:rPr>
                                <w:b w:val="0"/>
                                <w:bCs w:val="0"/>
                                <w:color w:val="000000" w:themeColor="text1"/>
                                <w:sz w:val="18"/>
                                <w:szCs w:val="16"/>
                                <w14:textFill>
                                  <w14:solidFill>
                                    <w14:schemeClr w14:val="tx1"/>
                                  </w14:solidFill>
                                </w14:textFill>
                              </w:rPr>
                              <w:t>Figure 6</w:t>
                            </w:r>
                            <w:r>
                              <w:rPr>
                                <w:color w:val="000000" w:themeColor="text1"/>
                                <w:sz w:val="18"/>
                                <w:szCs w:val="18"/>
                                <w14:textFill>
                                  <w14:solidFill>
                                    <w14:schemeClr w14:val="tx1"/>
                                  </w14:solidFill>
                                </w14:textFill>
                              </w:rPr>
                              <w:t>. Graph of Comparison PID Controlled CC-CV with Conventional Charging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75pt;margin-top:-3.4pt;height:222.65pt;width:480.6pt;mso-wrap-distance-bottom:0pt;mso-wrap-distance-top:0pt;z-index:251668480;v-text-anchor:middle;mso-width-relative:page;mso-height-relative:page;" filled="f" stroked="f" coordsize="21600,21600" o:gfxdata="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BgBwkI2gAAAAoBAAAPAAAA&#10;AAAAAAEAIAAAACIAAABkcnMvZG93bnJldi54bWxQSwECFAAUAAAACACHTuJA6eO0Bb4CAACPBQAA&#10;DgAAAAAAAAABACAAAAApAQAAZHJzL2Uyb0RvYy54bWxQSwUGAAAAAAYABgBZAQAAWQYAAAAA&#10;">
                <v:fill on="f" focussize="0,0"/>
                <v:stroke on="f" weight="2pt"/>
                <v:imagedata o:title=""/>
                <o:lock v:ext="edit" aspectratio="f"/>
                <v:textbox>
                  <w:txbxContent>
                    <w:p w14:paraId="2470C137">
                      <w:pPr>
                        <w:ind w:left="0" w:leftChars="0" w:firstLine="0" w:firstLineChars="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5907405" cy="2569210"/>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907405" cy="2569210"/>
                                    </a:xfrm>
                                    <a:prstGeom prst="rect">
                                      <a:avLst/>
                                    </a:prstGeom>
                                    <a:noFill/>
                                    <a:ln>
                                      <a:noFill/>
                                    </a:ln>
                                  </pic:spPr>
                                </pic:pic>
                              </a:graphicData>
                            </a:graphic>
                          </wp:inline>
                        </w:drawing>
                      </w:r>
                    </w:p>
                    <w:p w14:paraId="38DB82C1">
                      <w:pPr>
                        <w:ind w:left="0" w:leftChars="0" w:firstLine="0" w:firstLineChars="0"/>
                        <w:jc w:val="center"/>
                        <w:rPr>
                          <w:color w:val="000000" w:themeColor="text1"/>
                          <w:sz w:val="18"/>
                          <w:szCs w:val="18"/>
                          <w14:textFill>
                            <w14:solidFill>
                              <w14:schemeClr w14:val="tx1"/>
                            </w14:solidFill>
                          </w14:textFill>
                        </w:rPr>
                      </w:pPr>
                      <w:r>
                        <w:rPr>
                          <w:b w:val="0"/>
                          <w:bCs w:val="0"/>
                          <w:color w:val="000000" w:themeColor="text1"/>
                          <w:sz w:val="18"/>
                          <w:szCs w:val="16"/>
                          <w14:textFill>
                            <w14:solidFill>
                              <w14:schemeClr w14:val="tx1"/>
                            </w14:solidFill>
                          </w14:textFill>
                        </w:rPr>
                        <w:t>Figure 6</w:t>
                      </w:r>
                      <w:r>
                        <w:rPr>
                          <w:color w:val="000000" w:themeColor="text1"/>
                          <w:sz w:val="18"/>
                          <w:szCs w:val="18"/>
                          <w14:textFill>
                            <w14:solidFill>
                              <w14:schemeClr w14:val="tx1"/>
                            </w14:solidFill>
                          </w14:textFill>
                        </w:rPr>
                        <w:t>. Graph of Comparison PID Controlled CC-CV with Conventional Charging</w:t>
                      </w:r>
                    </w:p>
                  </w:txbxContent>
                </v:textbox>
                <w10:wrap type="topAndBottom"/>
              </v:rect>
            </w:pict>
          </mc:Fallback>
        </mc:AlternateContent>
      </w:r>
      <w:r>
        <w:rPr>
          <w:color w:val="000000" w:themeColor="text1"/>
          <w:lang w:val="en-GB"/>
          <w14:textFill>
            <w14:solidFill>
              <w14:schemeClr w14:val="tx1"/>
            </w14:solidFill>
          </w14:textFill>
        </w:rPr>
        <w:t>controlled system can provide a consistent charging current for a longer period of time, directly accelerating the total charging time.</w:t>
      </w:r>
    </w:p>
    <w:p w14:paraId="5896D56A">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After the 40th minute, the current in the PID system begins to decrease gradually and ends at the 85th minute, while the conventional system takes about 145 minutes to reach zero current. This fact shows that the PID system not only charges the battery faster, but also regulates the current decrease more efficiently, which is important for maintaining the temperature and preventing battery degradation.</w:t>
      </w:r>
    </w:p>
    <w:p w14:paraId="2D862225">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In the right graph, it can be seen that the charging voltage in the conventional method increases rapidly and reaches a peak above 12.7 V, even showing a tendency to overshoot before finally decreasing slightly at the end of charging. In contrast, the PID-controlled method gradually increases the voltage and keeps it stable at around 12.6 V without showing sharp spikes. This stability of voltage indicates that the PID system is more effective in controlling the charging conditions to keep them safe and within the limits of the battery specification.</w:t>
      </w:r>
    </w:p>
    <w:p w14:paraId="0DD8A8BB">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In general, it can be concluded that the PID-controlled system provides better performance than the conventional method, both in terms of charging time efficiency and electrical parameter stability. With more precise current and voltage control, this system is able to maintain optimal battery conditions, extend battery life, and improve safety during the charging process.</w:t>
      </w:r>
    </w:p>
    <w:p w14:paraId="6C5BB92E">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The faster charging time observed in the PID-controlled method, as shown in Figure 6, is mainly due to the ability of the PID controller to maintain a higher and more stable charging current during the CC phase. Unlike the conventional method, which begins to reduce current prematurely or responds slowly to voltage feedback, the PID system continuously adjusts the duty cycle to keep the current closer to the setpoint until the target voltage is reached. This optimizes the rate of energy transfer in the early phase of charging. In addition, the smooth and controlled transition to the CV phase prevents unnecessary delays or oscillations, allowing the overall charging process to be completed more efficiently. This real-time regulation accelerates the bulk charging stage without compromising voltage stability or safety.</w:t>
      </w:r>
    </w:p>
    <w:p w14:paraId="64B6DD9E">
      <w:pPr>
        <w:pStyle w:val="2"/>
        <w:rPr>
          <w:color w:val="000000" w:themeColor="text1"/>
          <w14:textFill>
            <w14:solidFill>
              <w14:schemeClr w14:val="tx1"/>
            </w14:solidFill>
          </w14:textFill>
        </w:rPr>
      </w:pPr>
      <w:r>
        <w:rPr>
          <w:color w:val="000000" w:themeColor="text1"/>
          <w14:textFill>
            <w14:solidFill>
              <w14:schemeClr w14:val="tx1"/>
            </w14:solidFill>
          </w14:textFill>
        </w:rPr>
        <w:t>Conclusion</w:t>
      </w:r>
    </w:p>
    <w:p w14:paraId="5660F567">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This study has demonstrated the effectiveness of a PID-controlled fast charging system using the CCCV method for lithium-ion batteries. The implementation of a closed-loop PID controller enabled dynamic adjustment of charging parameters, resulting in a more stable and efficient charging process compared to conventional methods. Experimental results showed that the PID-controlled system maintained a higher charging current for a longer duration, significantly reduced the total charging time, and minimized the voltage overshoot. In addition, voltage and current remained stable throughout the process, reducing thermal stress and improving battery safety.</w:t>
      </w:r>
    </w:p>
    <w:p w14:paraId="60B345AF">
      <w:pPr>
        <w:pStyle w:val="37"/>
        <w:keepNext w:val="0"/>
        <w:keepLines w:val="0"/>
        <w:pageBreakBefore w:val="0"/>
        <w:widowControl w:val="0"/>
        <w:kinsoku/>
        <w:wordWrap/>
        <w:overflowPunct/>
        <w:topLinePunct w:val="0"/>
        <w:autoSpaceDE w:val="0"/>
        <w:autoSpaceDN w:val="0"/>
        <w:bidi w:val="0"/>
        <w:adjustRightInd/>
        <w:snapToGrid/>
        <w:ind w:firstLine="357"/>
        <w:textAlignment w:val="auto"/>
        <w:rPr>
          <w:color w:val="000000" w:themeColor="text1"/>
          <w:lang w:val="en-GB"/>
          <w14:textFill>
            <w14:solidFill>
              <w14:schemeClr w14:val="tx1"/>
            </w14:solidFill>
          </w14:textFill>
        </w:rPr>
      </w:pPr>
      <w:r>
        <w:rPr>
          <w:color w:val="000000" w:themeColor="text1"/>
          <w:lang w:val="en-GB"/>
          <w14:textFill>
            <w14:solidFill>
              <w14:schemeClr w14:val="tx1"/>
            </w14:solidFill>
          </w14:textFill>
        </w:rPr>
        <w:t>The PID control system not only improved energy efficiency but also contributed to extending battery life by preventing overcharging and overheating. Compared to conventional CCCV charging, the proposed method showed superior current and voltage regulation performance, making it suitable for applications requiring rapid and safe charging, such as electric vehicles, portable electronics, and renewable energy storage systems. Future research may explore the integration of AI-based or adaptive control algorithms and advanced thermal management systems to further optimize performance and safety.</w:t>
      </w:r>
    </w:p>
    <w:p w14:paraId="6B83AE83">
      <w:pPr>
        <w:pStyle w:val="2"/>
        <w:numPr>
          <w:ilvl w:val="0"/>
          <w:numId w:val="0"/>
        </w:numPr>
        <w:rPr>
          <w:color w:val="000000" w:themeColor="text1"/>
          <w:lang w:val="en-US"/>
          <w14:textFill>
            <w14:solidFill>
              <w14:schemeClr w14:val="tx1"/>
            </w14:solidFill>
          </w14:textFill>
        </w:rPr>
      </w:pPr>
      <w:r>
        <w:rPr>
          <w:color w:val="000000" w:themeColor="text1"/>
          <w:lang w:val="en-US"/>
          <w14:textFill>
            <w14:solidFill>
              <w14:schemeClr w14:val="tx1"/>
            </w14:solidFill>
          </w14:textFill>
        </w:rPr>
        <w:t>Declarations</w:t>
      </w:r>
    </w:p>
    <w:p w14:paraId="3C45ABE2">
      <w:pPr>
        <w:pStyle w:val="2"/>
        <w:numPr>
          <w:ilvl w:val="0"/>
          <w:numId w:val="0"/>
        </w:numPr>
        <w:jc w:val="left"/>
        <w:rPr>
          <w:smallCaps w:val="0"/>
          <w:color w:val="000000" w:themeColor="text1"/>
          <w:sz w:val="18"/>
          <w:szCs w:val="18"/>
          <w:lang w:val="en-US"/>
          <w14:textFill>
            <w14:solidFill>
              <w14:schemeClr w14:val="tx1"/>
            </w14:solidFill>
          </w14:textFill>
        </w:rPr>
      </w:pPr>
      <w:r>
        <w:rPr>
          <w:smallCaps w:val="0"/>
          <w:color w:val="000000" w:themeColor="text1"/>
          <w:sz w:val="18"/>
          <w:szCs w:val="18"/>
          <w14:textFill>
            <w14:solidFill>
              <w14:schemeClr w14:val="tx1"/>
            </w14:solidFill>
          </w14:textFill>
        </w:rPr>
        <w:t>Conflict of Interest</w:t>
      </w:r>
    </w:p>
    <w:p w14:paraId="333B4B6C">
      <w:pPr>
        <w:keepNext w:val="0"/>
        <w:keepLines w:val="0"/>
        <w:pageBreakBefore w:val="0"/>
        <w:widowControl/>
        <w:kinsoku/>
        <w:wordWrap/>
        <w:overflowPunct/>
        <w:topLinePunct w:val="0"/>
        <w:autoSpaceDE/>
        <w:autoSpaceDN/>
        <w:bidi w:val="0"/>
        <w:adjustRightInd/>
        <w:snapToGrid/>
        <w:ind w:firstLine="357"/>
        <w:textAlignment w:val="auto"/>
        <w:rPr>
          <w:color w:val="000000" w:themeColor="text1"/>
          <w:sz w:val="18"/>
          <w:szCs w:val="18"/>
          <w:lang w:val="en-US"/>
          <w14:textFill>
            <w14:solidFill>
              <w14:schemeClr w14:val="tx1"/>
            </w14:solidFill>
          </w14:textFill>
        </w:rPr>
      </w:pPr>
      <w:r>
        <w:rPr>
          <w:color w:val="000000" w:themeColor="text1"/>
          <w:sz w:val="18"/>
          <w:szCs w:val="18"/>
          <w14:textFill>
            <w14:solidFill>
              <w14:schemeClr w14:val="tx1"/>
            </w14:solidFill>
          </w14:textFill>
        </w:rPr>
        <w:t>The authors have declared that no competing interests exist</w:t>
      </w:r>
      <w:r>
        <w:rPr>
          <w:color w:val="000000" w:themeColor="text1"/>
          <w:sz w:val="18"/>
          <w:szCs w:val="18"/>
          <w:lang w:val="en-US"/>
          <w14:textFill>
            <w14:solidFill>
              <w14:schemeClr w14:val="tx1"/>
            </w14:solidFill>
          </w14:textFill>
        </w:rPr>
        <w:t>.</w:t>
      </w:r>
    </w:p>
    <w:p w14:paraId="27CB2B38">
      <w:pPr>
        <w:pStyle w:val="2"/>
        <w:numPr>
          <w:ilvl w:val="0"/>
          <w:numId w:val="0"/>
        </w:numPr>
        <w:jc w:val="left"/>
        <w:rPr>
          <w:smallCaps w:val="0"/>
          <w:color w:val="000000" w:themeColor="text1"/>
          <w:sz w:val="18"/>
          <w:szCs w:val="18"/>
          <w:lang w:val="en-US"/>
          <w14:textFill>
            <w14:solidFill>
              <w14:schemeClr w14:val="tx1"/>
            </w14:solidFill>
          </w14:textFill>
        </w:rPr>
      </w:pPr>
      <w:r>
        <w:rPr>
          <w:smallCaps w:val="0"/>
          <w:color w:val="000000" w:themeColor="text1"/>
          <w:sz w:val="18"/>
          <w:szCs w:val="18"/>
          <w14:textFill>
            <w14:solidFill>
              <w14:schemeClr w14:val="tx1"/>
            </w14:solidFill>
          </w14:textFill>
        </w:rPr>
        <w:t xml:space="preserve">CRediT </w:t>
      </w:r>
      <w:r>
        <w:rPr>
          <w:smallCaps w:val="0"/>
          <w:color w:val="000000" w:themeColor="text1"/>
          <w:sz w:val="18"/>
          <w:szCs w:val="18"/>
          <w:lang w:val="en-US"/>
          <w14:textFill>
            <w14:solidFill>
              <w14:schemeClr w14:val="tx1"/>
            </w14:solidFill>
          </w14:textFill>
        </w:rPr>
        <w:t>A</w:t>
      </w:r>
      <w:r>
        <w:rPr>
          <w:smallCaps w:val="0"/>
          <w:color w:val="000000" w:themeColor="text1"/>
          <w:sz w:val="18"/>
          <w:szCs w:val="18"/>
          <w14:textFill>
            <w14:solidFill>
              <w14:schemeClr w14:val="tx1"/>
            </w14:solidFill>
          </w14:textFill>
        </w:rPr>
        <w:t xml:space="preserve">uthorship </w:t>
      </w:r>
      <w:r>
        <w:rPr>
          <w:smallCaps w:val="0"/>
          <w:color w:val="000000" w:themeColor="text1"/>
          <w:sz w:val="18"/>
          <w:szCs w:val="18"/>
          <w:lang w:val="en-US"/>
          <w14:textFill>
            <w14:solidFill>
              <w14:schemeClr w14:val="tx1"/>
            </w14:solidFill>
          </w14:textFill>
        </w:rPr>
        <w:t>C</w:t>
      </w:r>
      <w:r>
        <w:rPr>
          <w:smallCaps w:val="0"/>
          <w:color w:val="000000" w:themeColor="text1"/>
          <w:sz w:val="18"/>
          <w:szCs w:val="18"/>
          <w14:textFill>
            <w14:solidFill>
              <w14:schemeClr w14:val="tx1"/>
            </w14:solidFill>
          </w14:textFill>
        </w:rPr>
        <w:t>ontribution</w:t>
      </w:r>
    </w:p>
    <w:p w14:paraId="3D2FADED">
      <w:pPr>
        <w:keepNext w:val="0"/>
        <w:keepLines w:val="0"/>
        <w:pageBreakBefore w:val="0"/>
        <w:widowControl/>
        <w:kinsoku/>
        <w:wordWrap/>
        <w:overflowPunct/>
        <w:topLinePunct w:val="0"/>
        <w:autoSpaceDE/>
        <w:autoSpaceDN/>
        <w:bidi w:val="0"/>
        <w:adjustRightInd/>
        <w:snapToGrid/>
        <w:ind w:firstLine="357"/>
        <w:textAlignment w:val="auto"/>
        <w:rPr>
          <w:color w:val="auto"/>
          <w:sz w:val="18"/>
          <w:szCs w:val="18"/>
          <w:lang w:val="en-US"/>
        </w:rPr>
      </w:pPr>
      <w:r>
        <w:rPr>
          <w:rFonts w:hint="default"/>
          <w:color w:val="auto"/>
          <w:sz w:val="18"/>
          <w:szCs w:val="18"/>
          <w:lang w:val="en-US"/>
        </w:rPr>
        <w:t>Tole Sutikno: Conceptualization, Methodology, Supervision, Writing Review, and Editing; Tri Wahono: Software, Investigation, Data Curation; Ahmad Raditya Cahya Baswara: Formal Analysis, Validation, Visualization, Writing Original Draft.</w:t>
      </w:r>
    </w:p>
    <w:p w14:paraId="425D8202">
      <w:pPr>
        <w:keepNext/>
        <w:spacing w:before="180" w:after="60"/>
        <w:ind w:firstLine="0"/>
        <w:jc w:val="left"/>
        <w:outlineLvl w:val="0"/>
        <w:rPr>
          <w:b/>
          <w:bCs/>
          <w:color w:val="000000" w:themeColor="text1"/>
          <w:kern w:val="32"/>
          <w:sz w:val="18"/>
          <w:szCs w:val="18"/>
          <w:lang w:val="en-US" w:eastAsia="zh-CN"/>
          <w14:textFill>
            <w14:solidFill>
              <w14:schemeClr w14:val="tx1"/>
            </w14:solidFill>
          </w14:textFill>
        </w:rPr>
      </w:pPr>
      <w:r>
        <w:rPr>
          <w:b/>
          <w:bCs/>
          <w:color w:val="000000" w:themeColor="text1"/>
          <w:kern w:val="32"/>
          <w:sz w:val="18"/>
          <w:szCs w:val="18"/>
          <w:lang w:val="en-US" w:eastAsia="zh-CN"/>
          <w14:textFill>
            <w14:solidFill>
              <w14:schemeClr w14:val="tx1"/>
            </w14:solidFill>
          </w14:textFill>
        </w:rPr>
        <w:t>Funding</w:t>
      </w:r>
    </w:p>
    <w:p w14:paraId="05ADEA38">
      <w:pPr>
        <w:keepNext w:val="0"/>
        <w:keepLines w:val="0"/>
        <w:pageBreakBefore w:val="0"/>
        <w:widowControl/>
        <w:kinsoku/>
        <w:wordWrap/>
        <w:overflowPunct/>
        <w:topLinePunct w:val="0"/>
        <w:autoSpaceDE/>
        <w:autoSpaceDN/>
        <w:bidi w:val="0"/>
        <w:adjustRightInd/>
        <w:snapToGrid/>
        <w:ind w:firstLine="357"/>
        <w:textAlignment w:val="auto"/>
        <w:rPr>
          <w:color w:val="auto"/>
          <w:sz w:val="18"/>
          <w:szCs w:val="18"/>
          <w:lang w:val="en-US"/>
        </w:rPr>
      </w:pPr>
      <w:r>
        <w:rPr>
          <w:rFonts w:hint="default"/>
          <w:color w:val="auto"/>
          <w:sz w:val="18"/>
          <w:szCs w:val="18"/>
          <w:lang w:val="en-US"/>
        </w:rPr>
        <w:t>This research was funded by Universitas Ahmad Dahlan (UAD) through Lembaga Penelitian dan Pengabdian kepada Masyarakat (LPPM) under contract number PD-214/SP3/LPPM-UAD/XI/2024.</w:t>
      </w:r>
    </w:p>
    <w:p w14:paraId="50CD2417">
      <w:pPr>
        <w:pStyle w:val="2"/>
        <w:numPr>
          <w:ilvl w:val="0"/>
          <w:numId w:val="0"/>
        </w:numPr>
        <w:jc w:val="left"/>
        <w:rPr>
          <w:smallCaps w:val="0"/>
          <w:color w:val="000000" w:themeColor="text1"/>
          <w:sz w:val="18"/>
          <w:szCs w:val="18"/>
          <w14:textFill>
            <w14:solidFill>
              <w14:schemeClr w14:val="tx1"/>
            </w14:solidFill>
          </w14:textFill>
        </w:rPr>
      </w:pPr>
      <w:r>
        <w:rPr>
          <w:smallCaps w:val="0"/>
          <w:color w:val="000000" w:themeColor="text1"/>
          <w:sz w:val="18"/>
          <w:szCs w:val="18"/>
          <w14:textFill>
            <w14:solidFill>
              <w14:schemeClr w14:val="tx1"/>
            </w14:solidFill>
          </w14:textFill>
        </w:rPr>
        <w:t>Acknowledgment</w:t>
      </w:r>
    </w:p>
    <w:p w14:paraId="73529084">
      <w:pPr>
        <w:keepNext w:val="0"/>
        <w:keepLines w:val="0"/>
        <w:pageBreakBefore w:val="0"/>
        <w:widowControl/>
        <w:kinsoku/>
        <w:wordWrap/>
        <w:overflowPunct/>
        <w:topLinePunct w:val="0"/>
        <w:autoSpaceDE/>
        <w:autoSpaceDN/>
        <w:bidi w:val="0"/>
        <w:adjustRightInd/>
        <w:snapToGrid/>
        <w:ind w:firstLine="357"/>
        <w:textAlignment w:val="auto"/>
        <w:rPr>
          <w:color w:val="000000" w:themeColor="text1"/>
          <w:sz w:val="18"/>
          <w:szCs w:val="18"/>
          <w:lang w:val="en-US"/>
          <w14:textFill>
            <w14:solidFill>
              <w14:schemeClr w14:val="tx1"/>
            </w14:solidFill>
          </w14:textFill>
        </w:rPr>
      </w:pPr>
      <w:r>
        <w:rPr>
          <w:rFonts w:hint="default"/>
          <w:color w:val="000000" w:themeColor="text1"/>
          <w:sz w:val="18"/>
          <w:szCs w:val="18"/>
          <w14:textFill>
            <w14:solidFill>
              <w14:schemeClr w14:val="tx1"/>
            </w14:solidFill>
          </w14:textFill>
        </w:rPr>
        <w:t>This study is funded by a grant from Lembaga Penelitian dan Pengabdian Masyarakat (LPPM) Universitas Ahmad Dahlan, under contract number PD-214/SP3/LPPM-UAD/XI/2024. This study is also supported by Embedded Systems and Power Electronics Research Group (ESPERG).</w:t>
      </w:r>
    </w:p>
    <w:p w14:paraId="47384FC5">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References</w:t>
      </w:r>
    </w:p>
    <w:p w14:paraId="62FC390E">
      <w:pPr>
        <w:pStyle w:val="58"/>
        <w:tabs>
          <w:tab w:val="clear" w:pos="432"/>
        </w:tabs>
        <w:rPr>
          <w:color w:val="000000" w:themeColor="text1"/>
          <w:szCs w:val="16"/>
          <w14:textFill>
            <w14:solidFill>
              <w14:schemeClr w14:val="tx1"/>
            </w14:solidFill>
          </w14:textFill>
        </w:rPr>
      </w:pPr>
    </w:p>
    <w:p w14:paraId="2BB6CEC5">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14:textFill>
            <w14:solidFill>
              <w14:schemeClr w14:val="tx1"/>
            </w14:solidFill>
          </w14:textFill>
        </w:rPr>
        <w:fldChar w:fldCharType="begin" w:fldLock="1"/>
      </w:r>
      <w:r>
        <w:rPr>
          <w:color w:val="000000" w:themeColor="text1"/>
          <w14:textFill>
            <w14:solidFill>
              <w14:schemeClr w14:val="tx1"/>
            </w14:solidFill>
          </w14:textFill>
        </w:rPr>
        <w:instrText xml:space="preserve">ADDIN Mendeley Bibliography CSL_BIBLIOGRAPHY </w:instrText>
      </w:r>
      <w:r>
        <w:rPr>
          <w:color w:val="000000" w:themeColor="text1"/>
          <w14:textFill>
            <w14:solidFill>
              <w14:schemeClr w14:val="tx1"/>
            </w14:solidFill>
          </w14:textFill>
        </w:rPr>
        <w:fldChar w:fldCharType="separate"/>
      </w:r>
      <w:r>
        <w:rPr>
          <w:color w:val="000000" w:themeColor="text1"/>
          <w:sz w:val="16"/>
          <w:szCs w:val="24"/>
          <w14:textFill>
            <w14:solidFill>
              <w14:schemeClr w14:val="tx1"/>
            </w14:solidFill>
          </w14:textFill>
        </w:rPr>
        <w:t>[1]</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Y. Li, K. Li, Y. Xie, J. Liu, C. Fu, and B. Liu, “Optimized charging of lithium-ion battery for electric vehicles: Adaptive multistage constant current–constant voltage charging strategy,” </w:t>
      </w:r>
      <w:r>
        <w:rPr>
          <w:i/>
          <w:iCs/>
          <w:color w:val="000000" w:themeColor="text1"/>
          <w:sz w:val="16"/>
          <w:szCs w:val="24"/>
          <w14:textFill>
            <w14:solidFill>
              <w14:schemeClr w14:val="tx1"/>
            </w14:solidFill>
          </w14:textFill>
        </w:rPr>
        <w:t>Renew. Energy</w:t>
      </w:r>
      <w:r>
        <w:rPr>
          <w:color w:val="000000" w:themeColor="text1"/>
          <w:sz w:val="16"/>
          <w:szCs w:val="24"/>
          <w14:textFill>
            <w14:solidFill>
              <w14:schemeClr w14:val="tx1"/>
            </w14:solidFill>
          </w14:textFill>
        </w:rPr>
        <w:t>, vol. 146, pp. 2688–2699, Feb. 2020, doi: 10.1016/j.renene.2019.08.077.</w:t>
      </w:r>
    </w:p>
    <w:p w14:paraId="1F272EBD">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[2]</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T. Sutikno, T. Wahono, and A. Ardiansyah, “A study of smart charging for electric vehicles using constant-current and constant-voltage technology,” </w:t>
      </w:r>
      <w:r>
        <w:rPr>
          <w:i/>
          <w:iCs/>
          <w:color w:val="000000" w:themeColor="text1"/>
          <w:sz w:val="16"/>
          <w:szCs w:val="24"/>
          <w14:textFill>
            <w14:solidFill>
              <w14:schemeClr w14:val="tx1"/>
            </w14:solidFill>
          </w14:textFill>
        </w:rPr>
        <w:t>Int. J. Adv. Appl. Sci.</w:t>
      </w:r>
      <w:r>
        <w:rPr>
          <w:color w:val="000000" w:themeColor="text1"/>
          <w:sz w:val="16"/>
          <w:szCs w:val="24"/>
          <w14:textFill>
            <w14:solidFill>
              <w14:schemeClr w14:val="tx1"/>
            </w14:solidFill>
          </w14:textFill>
        </w:rPr>
        <w:t>, vol. 13, no. 3, p. 591, Sep. 2024, doi: 10.11591/ijaas.v13.i3.pp591-599.</w:t>
      </w:r>
    </w:p>
    <w:p w14:paraId="3D38D3F7">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[3]</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T. Shahed and A. B. M. H. Rashid, “Battery charging technologies and standards for electric vehicles : A state-of-the-art review , challenges , and future research prospects,” </w:t>
      </w:r>
      <w:r>
        <w:rPr>
          <w:i/>
          <w:iCs/>
          <w:color w:val="000000" w:themeColor="text1"/>
          <w:sz w:val="16"/>
          <w:szCs w:val="24"/>
          <w14:textFill>
            <w14:solidFill>
              <w14:schemeClr w14:val="tx1"/>
            </w14:solidFill>
          </w14:textFill>
        </w:rPr>
        <w:t>Energy Reports</w:t>
      </w:r>
      <w:r>
        <w:rPr>
          <w:color w:val="000000" w:themeColor="text1"/>
          <w:sz w:val="16"/>
          <w:szCs w:val="24"/>
          <w14:textFill>
            <w14:solidFill>
              <w14:schemeClr w14:val="tx1"/>
            </w14:solidFill>
          </w14:textFill>
        </w:rPr>
        <w:t>, vol. 11, no. May 2023, pp. 5978–5998, 2024, doi: 10.1016/j.egyr.2024.05.062.</w:t>
      </w:r>
    </w:p>
    <w:p w14:paraId="48287343">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[4]</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A. K. Koech, G. Mwandila, F. Mulolani, and P. Mwaanga, “Lithium-ion battery fundamentals and exploration of cathode materials: A review,” </w:t>
      </w:r>
      <w:r>
        <w:rPr>
          <w:i/>
          <w:iCs/>
          <w:color w:val="000000" w:themeColor="text1"/>
          <w:sz w:val="16"/>
          <w:szCs w:val="24"/>
          <w14:textFill>
            <w14:solidFill>
              <w14:schemeClr w14:val="tx1"/>
            </w14:solidFill>
          </w14:textFill>
        </w:rPr>
        <w:t>South African J. Chem. Eng.</w:t>
      </w:r>
      <w:r>
        <w:rPr>
          <w:color w:val="000000" w:themeColor="text1"/>
          <w:sz w:val="16"/>
          <w:szCs w:val="24"/>
          <w14:textFill>
            <w14:solidFill>
              <w14:schemeClr w14:val="tx1"/>
            </w14:solidFill>
          </w14:textFill>
        </w:rPr>
        <w:t>, vol. 50, no. September, pp. 321–339, 2024, doi: 10.1016/j.sajce.2024.09.008.</w:t>
      </w:r>
    </w:p>
    <w:p w14:paraId="52DAA496">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[5]</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X. Wu, K. Zhang, Y. Chen, J. Du, and N. I. Shchurov, “Multistage fast charging optimization protocol for lithium-ion batteries based on the biogeography-based algorithm,” </w:t>
      </w:r>
      <w:r>
        <w:rPr>
          <w:i/>
          <w:iCs/>
          <w:color w:val="000000" w:themeColor="text1"/>
          <w:sz w:val="16"/>
          <w:szCs w:val="24"/>
          <w14:textFill>
            <w14:solidFill>
              <w14:schemeClr w14:val="tx1"/>
            </w14:solidFill>
          </w14:textFill>
        </w:rPr>
        <w:t>J. Energy Storage</w:t>
      </w:r>
      <w:r>
        <w:rPr>
          <w:color w:val="000000" w:themeColor="text1"/>
          <w:sz w:val="16"/>
          <w:szCs w:val="24"/>
          <w14:textFill>
            <w14:solidFill>
              <w14:schemeClr w14:val="tx1"/>
            </w14:solidFill>
          </w14:textFill>
        </w:rPr>
        <w:t>, vol. 52, no. PA, p. 104679, 2022, doi: 10.1016/j.est.2022.104679.</w:t>
      </w:r>
    </w:p>
    <w:p w14:paraId="28E8E0C4">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[6]</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H. El Ouazzani, I. El Hassani, N. Barka, and T. Masrour, “MSCC-DRL: Multi-Stage constant current based on deep reinforcement learning for fast charging of lithium ion battery,” </w:t>
      </w:r>
      <w:r>
        <w:rPr>
          <w:i/>
          <w:iCs/>
          <w:color w:val="000000" w:themeColor="text1"/>
          <w:sz w:val="16"/>
          <w:szCs w:val="24"/>
          <w14:textFill>
            <w14:solidFill>
              <w14:schemeClr w14:val="tx1"/>
            </w14:solidFill>
          </w14:textFill>
        </w:rPr>
        <w:t>J. Energy Storage</w:t>
      </w:r>
      <w:r>
        <w:rPr>
          <w:color w:val="000000" w:themeColor="text1"/>
          <w:sz w:val="16"/>
          <w:szCs w:val="24"/>
          <w14:textFill>
            <w14:solidFill>
              <w14:schemeClr w14:val="tx1"/>
            </w14:solidFill>
          </w14:textFill>
        </w:rPr>
        <w:t>, vol. 75, no. May 2023, p. 109695, 2024, doi: 10.1016/j.est.2023.109695.</w:t>
      </w:r>
    </w:p>
    <w:p w14:paraId="0903839E">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[7]</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Y. Shen </w:t>
      </w:r>
      <w:r>
        <w:rPr>
          <w:i/>
          <w:iCs/>
          <w:color w:val="000000" w:themeColor="text1"/>
          <w:sz w:val="16"/>
          <w:szCs w:val="24"/>
          <w14:textFill>
            <w14:solidFill>
              <w14:schemeClr w14:val="tx1"/>
            </w14:solidFill>
          </w14:textFill>
        </w:rPr>
        <w:t>et al.</w:t>
      </w:r>
      <w:r>
        <w:rPr>
          <w:color w:val="000000" w:themeColor="text1"/>
          <w:sz w:val="16"/>
          <w:szCs w:val="24"/>
          <w14:textFill>
            <w14:solidFill>
              <w14:schemeClr w14:val="tx1"/>
            </w14:solidFill>
          </w14:textFill>
        </w:rPr>
        <w:t xml:space="preserve">, “Online detection of lithium plating onset during constant and multistage constant current fast charging for lithium-ion batteries,” </w:t>
      </w:r>
      <w:r>
        <w:rPr>
          <w:i/>
          <w:iCs/>
          <w:color w:val="000000" w:themeColor="text1"/>
          <w:sz w:val="16"/>
          <w:szCs w:val="24"/>
          <w14:textFill>
            <w14:solidFill>
              <w14:schemeClr w14:val="tx1"/>
            </w14:solidFill>
          </w14:textFill>
        </w:rPr>
        <w:t>Appl. Energy</w:t>
      </w:r>
      <w:r>
        <w:rPr>
          <w:color w:val="000000" w:themeColor="text1"/>
          <w:sz w:val="16"/>
          <w:szCs w:val="24"/>
          <w14:textFill>
            <w14:solidFill>
              <w14:schemeClr w14:val="tx1"/>
            </w14:solidFill>
          </w14:textFill>
        </w:rPr>
        <w:t>, vol. 370, no. March, p. 123631, 2024, doi: 10.1016/j.apenergy.2024.123631.</w:t>
      </w:r>
    </w:p>
    <w:p w14:paraId="66DCF1A7">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[8]</w:t>
      </w:r>
      <w:r>
        <w:rPr>
          <w:color w:val="C00000"/>
          <w:sz w:val="16"/>
          <w:szCs w:val="24"/>
        </w:rPr>
        <w:tab/>
      </w:r>
      <w:r>
        <w:rPr>
          <w:rFonts w:hint="default"/>
          <w:color w:val="000000" w:themeColor="text1"/>
          <w:sz w:val="16"/>
          <w:szCs w:val="24"/>
          <w14:textFill>
            <w14:solidFill>
              <w14:schemeClr w14:val="tx1"/>
            </w14:solidFill>
          </w14:textFill>
        </w:rPr>
        <w:t xml:space="preserve">A. Kaleem, I. U. Khalil, S. Aslam, N. Ullah, S. Al Otaibi, and M. Algethami, “Feedback PID controller-based closed-loop fast charging of lithium-ion batteries using constant-temperature–constant-voltage method,” </w:t>
      </w:r>
      <w:r>
        <w:rPr>
          <w:rFonts w:hint="default"/>
          <w:i/>
          <w:iCs/>
          <w:color w:val="000000" w:themeColor="text1"/>
          <w:sz w:val="16"/>
          <w:szCs w:val="24"/>
          <w14:textFill>
            <w14:solidFill>
              <w14:schemeClr w14:val="tx1"/>
            </w14:solidFill>
          </w14:textFill>
        </w:rPr>
        <w:t>Electronics</w:t>
      </w:r>
      <w:r>
        <w:rPr>
          <w:rFonts w:hint="default"/>
          <w:color w:val="000000" w:themeColor="text1"/>
          <w:sz w:val="16"/>
          <w:szCs w:val="24"/>
          <w14:textFill>
            <w14:solidFill>
              <w14:schemeClr w14:val="tx1"/>
            </w14:solidFill>
          </w14:textFill>
        </w:rPr>
        <w:t>, vol. 10, no. 22, Art. no. 2872, 2021, doi: 10.3390/electronics10222872.</w:t>
      </w:r>
    </w:p>
    <w:p w14:paraId="452F88C8">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[9]</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A. Haraz, K. Abualsaud, and A. Massoud, “State-of-Health and State-of-Charge Estimation in Electric Vehicles Batteries : A Survey on Machine Learning Approaches,” </w:t>
      </w:r>
      <w:r>
        <w:rPr>
          <w:i/>
          <w:iCs/>
          <w:color w:val="000000" w:themeColor="text1"/>
          <w:sz w:val="16"/>
          <w:szCs w:val="24"/>
          <w14:textFill>
            <w14:solidFill>
              <w14:schemeClr w14:val="tx1"/>
            </w14:solidFill>
          </w14:textFill>
        </w:rPr>
        <w:t>IEEE Access</w:t>
      </w:r>
      <w:r>
        <w:rPr>
          <w:color w:val="000000" w:themeColor="text1"/>
          <w:sz w:val="16"/>
          <w:szCs w:val="24"/>
          <w14:textFill>
            <w14:solidFill>
              <w14:schemeClr w14:val="tx1"/>
            </w14:solidFill>
          </w14:textFill>
        </w:rPr>
        <w:t>, vol. 12, no. September, pp. 158110–158139, 2024, doi: 10.1109/ACCESS.2024.3486989.</w:t>
      </w:r>
    </w:p>
    <w:p w14:paraId="36071225">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[10]</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G. Yang, “State of Charge Estimation of Lithium-Ion Battery for Underwater Vehicles Using MM-UKF Under Hierarchical Temperature Compensation,” </w:t>
      </w:r>
      <w:r>
        <w:rPr>
          <w:i/>
          <w:iCs/>
          <w:color w:val="000000" w:themeColor="text1"/>
          <w:sz w:val="16"/>
          <w:szCs w:val="24"/>
          <w14:textFill>
            <w14:solidFill>
              <w14:schemeClr w14:val="tx1"/>
            </w14:solidFill>
          </w14:textFill>
        </w:rPr>
        <w:t>IEEE Access</w:t>
      </w:r>
      <w:r>
        <w:rPr>
          <w:color w:val="000000" w:themeColor="text1"/>
          <w:sz w:val="16"/>
          <w:szCs w:val="24"/>
          <w14:textFill>
            <w14:solidFill>
              <w14:schemeClr w14:val="tx1"/>
            </w14:solidFill>
          </w14:textFill>
        </w:rPr>
        <w:t>, vol. 12, no. July, pp. 95831–95845, 2024, doi: 10.1109/ACCESS.2024.3425950.</w:t>
      </w:r>
    </w:p>
    <w:p w14:paraId="484FF8F2">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[1</w:t>
      </w:r>
      <w:r>
        <w:rPr>
          <w:rFonts w:hint="default"/>
          <w:color w:val="000000" w:themeColor="text1"/>
          <w:sz w:val="16"/>
          <w:szCs w:val="24"/>
          <w:lang w:val="en-US"/>
          <w14:textFill>
            <w14:solidFill>
              <w14:schemeClr w14:val="tx1"/>
            </w14:solidFill>
          </w14:textFill>
        </w:rPr>
        <w:t>1</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X. Wang, Y. Tang, Z. Li, and C. Xu, “Research on charging strategy based on improved particle swarm optimization PID algorithm,” </w:t>
      </w:r>
      <w:r>
        <w:rPr>
          <w:i/>
          <w:iCs/>
          <w:color w:val="000000" w:themeColor="text1"/>
          <w:sz w:val="16"/>
          <w:szCs w:val="24"/>
          <w14:textFill>
            <w14:solidFill>
              <w14:schemeClr w14:val="tx1"/>
            </w14:solidFill>
          </w14:textFill>
        </w:rPr>
        <w:t>Complex Intell. Syst.</w:t>
      </w:r>
      <w:r>
        <w:rPr>
          <w:color w:val="000000" w:themeColor="text1"/>
          <w:sz w:val="16"/>
          <w:szCs w:val="24"/>
          <w14:textFill>
            <w14:solidFill>
              <w14:schemeClr w14:val="tx1"/>
            </w14:solidFill>
          </w14:textFill>
        </w:rPr>
        <w:t>, vol. 10, no. 5, pp. 6421–6433, 2024.</w:t>
      </w:r>
    </w:p>
    <w:p w14:paraId="3F0E3E25">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[1</w:t>
      </w:r>
      <w:r>
        <w:rPr>
          <w:rFonts w:hint="default"/>
          <w:color w:val="000000" w:themeColor="text1"/>
          <w:sz w:val="16"/>
          <w:szCs w:val="24"/>
          <w:lang w:val="en-US"/>
          <w14:textFill>
            <w14:solidFill>
              <w14:schemeClr w14:val="tx1"/>
            </w14:solidFill>
          </w14:textFill>
        </w:rPr>
        <w:t>2</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A. Rospawan and J. W. Simatupang, “Microcontroller-Based Lead-Acid Battery Balancing System for Electric Vehicle Applications,” </w:t>
      </w:r>
      <w:r>
        <w:rPr>
          <w:i/>
          <w:iCs/>
          <w:color w:val="000000" w:themeColor="text1"/>
          <w:sz w:val="16"/>
          <w:szCs w:val="24"/>
          <w14:textFill>
            <w14:solidFill>
              <w14:schemeClr w14:val="tx1"/>
            </w14:solidFill>
          </w14:textFill>
        </w:rPr>
        <w:t>J. Elektron. dan Telekomun.</w:t>
      </w:r>
      <w:r>
        <w:rPr>
          <w:color w:val="000000" w:themeColor="text1"/>
          <w:sz w:val="16"/>
          <w:szCs w:val="24"/>
          <w14:textFill>
            <w14:solidFill>
              <w14:schemeClr w14:val="tx1"/>
            </w14:solidFill>
          </w14:textFill>
        </w:rPr>
        <w:t>, vol. 21, no. 2, p. 128, 2021, doi: 10.14203/jet.v21.128-139.</w:t>
      </w:r>
    </w:p>
    <w:p w14:paraId="2072F04E">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[1</w:t>
      </w:r>
      <w:r>
        <w:rPr>
          <w:rFonts w:hint="default"/>
          <w:color w:val="000000" w:themeColor="text1"/>
          <w:sz w:val="16"/>
          <w:szCs w:val="24"/>
          <w:lang w:val="en-US"/>
          <w14:textFill>
            <w14:solidFill>
              <w14:schemeClr w14:val="tx1"/>
            </w14:solidFill>
          </w14:textFill>
        </w:rPr>
        <w:t>3</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O. F. Nami </w:t>
      </w:r>
      <w:r>
        <w:rPr>
          <w:i/>
          <w:iCs/>
          <w:color w:val="000000" w:themeColor="text1"/>
          <w:sz w:val="16"/>
          <w:szCs w:val="24"/>
          <w14:textFill>
            <w14:solidFill>
              <w14:schemeClr w14:val="tx1"/>
            </w14:solidFill>
          </w14:textFill>
        </w:rPr>
        <w:t>et al.</w:t>
      </w:r>
      <w:r>
        <w:rPr>
          <w:color w:val="000000" w:themeColor="text1"/>
          <w:sz w:val="16"/>
          <w:szCs w:val="24"/>
          <w14:textFill>
            <w14:solidFill>
              <w14:schemeClr w14:val="tx1"/>
            </w14:solidFill>
          </w14:textFill>
        </w:rPr>
        <w:t xml:space="preserve">, “Performance Comparison of PID, FOPID, and NN-PID Controller for AUV Steering Problem,” </w:t>
      </w:r>
      <w:r>
        <w:rPr>
          <w:i/>
          <w:iCs/>
          <w:color w:val="000000" w:themeColor="text1"/>
          <w:sz w:val="16"/>
          <w:szCs w:val="24"/>
          <w14:textFill>
            <w14:solidFill>
              <w14:schemeClr w14:val="tx1"/>
            </w14:solidFill>
          </w14:textFill>
        </w:rPr>
        <w:t>J. Elektron. dan Telekomun.</w:t>
      </w:r>
      <w:r>
        <w:rPr>
          <w:color w:val="000000" w:themeColor="text1"/>
          <w:sz w:val="16"/>
          <w:szCs w:val="24"/>
          <w14:textFill>
            <w14:solidFill>
              <w14:schemeClr w14:val="tx1"/>
            </w14:solidFill>
          </w14:textFill>
        </w:rPr>
        <w:t>, vol. 24, no. 1, p. 72, 2024, doi: 10.55981/jet.596.</w:t>
      </w:r>
    </w:p>
    <w:p w14:paraId="74799229">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[1</w:t>
      </w:r>
      <w:r>
        <w:rPr>
          <w:rFonts w:hint="default"/>
          <w:color w:val="000000" w:themeColor="text1"/>
          <w:sz w:val="16"/>
          <w:szCs w:val="24"/>
          <w:lang w:val="en-US"/>
          <w14:textFill>
            <w14:solidFill>
              <w14:schemeClr w14:val="tx1"/>
            </w14:solidFill>
          </w14:textFill>
        </w:rPr>
        <w:t>4</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M. Usman Tahir, A. Sangwongwanich, D. I. Stroe, and F. Blaabjerg, “Overview of multi-stage charging strategies for Li-ion batteries,” </w:t>
      </w:r>
      <w:r>
        <w:rPr>
          <w:i/>
          <w:iCs/>
          <w:color w:val="000000" w:themeColor="text1"/>
          <w:sz w:val="16"/>
          <w:szCs w:val="24"/>
          <w14:textFill>
            <w14:solidFill>
              <w14:schemeClr w14:val="tx1"/>
            </w14:solidFill>
          </w14:textFill>
        </w:rPr>
        <w:t>J. Energy Chem.</w:t>
      </w:r>
      <w:r>
        <w:rPr>
          <w:color w:val="000000" w:themeColor="text1"/>
          <w:sz w:val="16"/>
          <w:szCs w:val="24"/>
          <w14:textFill>
            <w14:solidFill>
              <w14:schemeClr w14:val="tx1"/>
            </w14:solidFill>
          </w14:textFill>
        </w:rPr>
        <w:t>, vol. 84, pp. 228–241, 2023, doi: 10.1016/j.jechem.2023.05.023.</w:t>
      </w:r>
    </w:p>
    <w:p w14:paraId="76E92714">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[1</w:t>
      </w:r>
      <w:r>
        <w:rPr>
          <w:rFonts w:hint="default"/>
          <w:color w:val="000000" w:themeColor="text1"/>
          <w:sz w:val="16"/>
          <w:szCs w:val="24"/>
          <w:lang w:val="en-US"/>
          <w14:textFill>
            <w14:solidFill>
              <w14:schemeClr w14:val="tx1"/>
            </w14:solidFill>
          </w14:textFill>
        </w:rPr>
        <w:t>5</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M. S. H. Lipu </w:t>
      </w:r>
      <w:r>
        <w:rPr>
          <w:i/>
          <w:iCs/>
          <w:color w:val="000000" w:themeColor="text1"/>
          <w:sz w:val="16"/>
          <w:szCs w:val="24"/>
          <w14:textFill>
            <w14:solidFill>
              <w14:schemeClr w14:val="tx1"/>
            </w14:solidFill>
          </w14:textFill>
        </w:rPr>
        <w:t>et al.</w:t>
      </w:r>
      <w:r>
        <w:rPr>
          <w:color w:val="000000" w:themeColor="text1"/>
          <w:sz w:val="16"/>
          <w:szCs w:val="24"/>
          <w14:textFill>
            <w14:solidFill>
              <w14:schemeClr w14:val="tx1"/>
            </w14:solidFill>
          </w14:textFill>
        </w:rPr>
        <w:t xml:space="preserve">, “Real-Time State of Charge Estimation of Lithium-Ion Batteries Using Optimized Random Forest Regression Algorithm,” </w:t>
      </w:r>
      <w:r>
        <w:rPr>
          <w:i/>
          <w:iCs/>
          <w:color w:val="000000" w:themeColor="text1"/>
          <w:sz w:val="16"/>
          <w:szCs w:val="24"/>
          <w14:textFill>
            <w14:solidFill>
              <w14:schemeClr w14:val="tx1"/>
            </w14:solidFill>
          </w14:textFill>
        </w:rPr>
        <w:t>IEEE Trans. Intell. Veh.</w:t>
      </w:r>
      <w:r>
        <w:rPr>
          <w:color w:val="000000" w:themeColor="text1"/>
          <w:sz w:val="16"/>
          <w:szCs w:val="24"/>
          <w14:textFill>
            <w14:solidFill>
              <w14:schemeClr w14:val="tx1"/>
            </w14:solidFill>
          </w14:textFill>
        </w:rPr>
        <w:t>, vol. 8, no. 1, pp. 639–648, 2023, doi: 10.1109/TIV.2022.3161301.</w:t>
      </w:r>
    </w:p>
    <w:p w14:paraId="698D1197">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[1</w:t>
      </w:r>
      <w:r>
        <w:rPr>
          <w:rFonts w:hint="default"/>
          <w:color w:val="000000" w:themeColor="text1"/>
          <w:sz w:val="16"/>
          <w:szCs w:val="24"/>
          <w:lang w:val="en-US"/>
          <w14:textFill>
            <w14:solidFill>
              <w14:schemeClr w14:val="tx1"/>
            </w14:solidFill>
          </w14:textFill>
        </w:rPr>
        <w:t>6</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X. Sun, Z. Li, X. Wang, and C. Li, “Technology development of electric vehicles: A review,” </w:t>
      </w:r>
      <w:r>
        <w:rPr>
          <w:i/>
          <w:iCs/>
          <w:color w:val="000000" w:themeColor="text1"/>
          <w:sz w:val="16"/>
          <w:szCs w:val="24"/>
          <w14:textFill>
            <w14:solidFill>
              <w14:schemeClr w14:val="tx1"/>
            </w14:solidFill>
          </w14:textFill>
        </w:rPr>
        <w:t>Energies</w:t>
      </w:r>
      <w:r>
        <w:rPr>
          <w:color w:val="000000" w:themeColor="text1"/>
          <w:sz w:val="16"/>
          <w:szCs w:val="24"/>
          <w14:textFill>
            <w14:solidFill>
              <w14:schemeClr w14:val="tx1"/>
            </w14:solidFill>
          </w14:textFill>
        </w:rPr>
        <w:t>, vol. 13, no. 1, pp. 1–29, 2019, doi: 10.3390/en13010090.</w:t>
      </w:r>
    </w:p>
    <w:p w14:paraId="63E8BA46">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[1</w:t>
      </w:r>
      <w:r>
        <w:rPr>
          <w:rFonts w:hint="default"/>
          <w:color w:val="000000" w:themeColor="text1"/>
          <w:sz w:val="16"/>
          <w:szCs w:val="24"/>
          <w:lang w:val="en-US"/>
          <w14:textFill>
            <w14:solidFill>
              <w14:schemeClr w14:val="tx1"/>
            </w14:solidFill>
          </w14:textFill>
        </w:rPr>
        <w:t>7</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M. Brenna, F. Foiadelli, C. Leone, and M. Longo, “Electric Vehicles Charging Technology Review and Optimal Size Estimation,” </w:t>
      </w:r>
      <w:r>
        <w:rPr>
          <w:i/>
          <w:iCs/>
          <w:color w:val="000000" w:themeColor="text1"/>
          <w:sz w:val="16"/>
          <w:szCs w:val="24"/>
          <w14:textFill>
            <w14:solidFill>
              <w14:schemeClr w14:val="tx1"/>
            </w14:solidFill>
          </w14:textFill>
        </w:rPr>
        <w:t>J. Electr. Eng. Technol.</w:t>
      </w:r>
      <w:r>
        <w:rPr>
          <w:color w:val="000000" w:themeColor="text1"/>
          <w:sz w:val="16"/>
          <w:szCs w:val="24"/>
          <w14:textFill>
            <w14:solidFill>
              <w14:schemeClr w14:val="tx1"/>
            </w14:solidFill>
          </w14:textFill>
        </w:rPr>
        <w:t>, vol. 15, no. 6, pp. 2539–2552, Nov. 2020, doi: 10.1007/s42835-020-00547-x.</w:t>
      </w:r>
    </w:p>
    <w:p w14:paraId="723F0943">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[1</w:t>
      </w:r>
      <w:r>
        <w:rPr>
          <w:rFonts w:hint="default"/>
          <w:color w:val="000000" w:themeColor="text1"/>
          <w:sz w:val="16"/>
          <w:szCs w:val="24"/>
          <w:lang w:val="en-US"/>
          <w14:textFill>
            <w14:solidFill>
              <w14:schemeClr w14:val="tx1"/>
            </w14:solidFill>
          </w14:textFill>
        </w:rPr>
        <w:t>8</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G. Zhao, Y. Wang, and Z. Chen, “Health-aware multi-stage charging strategy for lithium-ion batteries based on whale optimization algorithm,” </w:t>
      </w:r>
      <w:r>
        <w:rPr>
          <w:i/>
          <w:iCs/>
          <w:color w:val="000000" w:themeColor="text1"/>
          <w:sz w:val="16"/>
          <w:szCs w:val="24"/>
          <w14:textFill>
            <w14:solidFill>
              <w14:schemeClr w14:val="tx1"/>
            </w14:solidFill>
          </w14:textFill>
        </w:rPr>
        <w:t>J. Energy Storage</w:t>
      </w:r>
      <w:r>
        <w:rPr>
          <w:color w:val="000000" w:themeColor="text1"/>
          <w:sz w:val="16"/>
          <w:szCs w:val="24"/>
          <w14:textFill>
            <w14:solidFill>
              <w14:schemeClr w14:val="tx1"/>
            </w14:solidFill>
          </w14:textFill>
        </w:rPr>
        <w:t>, vol. 55, no. PC, p. 105620, 2022, doi: 10.1016/j.est.2022.105620.</w:t>
      </w:r>
    </w:p>
    <w:p w14:paraId="77533683">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w:t>
      </w:r>
      <w:r>
        <w:rPr>
          <w:rFonts w:hint="default"/>
          <w:color w:val="000000" w:themeColor="text1"/>
          <w:sz w:val="16"/>
          <w:szCs w:val="24"/>
          <w:lang w:val="en-US"/>
          <w14:textFill>
            <w14:solidFill>
              <w14:schemeClr w14:val="tx1"/>
            </w14:solidFill>
          </w14:textFill>
        </w:rPr>
        <w:t>19</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Q. Y. Huang, Y. H. Liu, G. J. Chen, Y. F. Luo, and C. L. Liu, “Optimization of the SOC-based multi-stage constant current charging strategy using coyote optimization algorithm,” </w:t>
      </w:r>
      <w:r>
        <w:rPr>
          <w:i/>
          <w:iCs/>
          <w:color w:val="000000" w:themeColor="text1"/>
          <w:sz w:val="16"/>
          <w:szCs w:val="24"/>
          <w14:textFill>
            <w14:solidFill>
              <w14:schemeClr w14:val="tx1"/>
            </w14:solidFill>
          </w14:textFill>
        </w:rPr>
        <w:t>J. Energy Storage</w:t>
      </w:r>
      <w:r>
        <w:rPr>
          <w:color w:val="000000" w:themeColor="text1"/>
          <w:sz w:val="16"/>
          <w:szCs w:val="24"/>
          <w14:textFill>
            <w14:solidFill>
              <w14:schemeClr w14:val="tx1"/>
            </w14:solidFill>
          </w14:textFill>
        </w:rPr>
        <w:t>, vol. 77, no. August 2023, p. 109867, 2024, doi: 10.1016/j.est.2023.109867.</w:t>
      </w:r>
    </w:p>
    <w:p w14:paraId="4E5F4470">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[2</w:t>
      </w:r>
      <w:r>
        <w:rPr>
          <w:rFonts w:hint="default"/>
          <w:color w:val="000000" w:themeColor="text1"/>
          <w:sz w:val="16"/>
          <w:szCs w:val="24"/>
          <w:lang w:val="en-US"/>
          <w14:textFill>
            <w14:solidFill>
              <w14:schemeClr w14:val="tx1"/>
            </w14:solidFill>
          </w14:textFill>
        </w:rPr>
        <w:t>0</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Z. Mahdavi </w:t>
      </w:r>
      <w:r>
        <w:rPr>
          <w:i/>
          <w:iCs/>
          <w:color w:val="000000" w:themeColor="text1"/>
          <w:sz w:val="16"/>
          <w:szCs w:val="24"/>
          <w14:textFill>
            <w14:solidFill>
              <w14:schemeClr w14:val="tx1"/>
            </w14:solidFill>
          </w14:textFill>
        </w:rPr>
        <w:t>et al.</w:t>
      </w:r>
      <w:r>
        <w:rPr>
          <w:color w:val="000000" w:themeColor="text1"/>
          <w:sz w:val="16"/>
          <w:szCs w:val="24"/>
          <w14:textFill>
            <w14:solidFill>
              <w14:schemeClr w14:val="tx1"/>
            </w14:solidFill>
          </w14:textFill>
        </w:rPr>
        <w:t xml:space="preserve">, “Providing a Control System for Charging Electric Vehicles Using ANFIS,” </w:t>
      </w:r>
      <w:r>
        <w:rPr>
          <w:i/>
          <w:iCs/>
          <w:color w:val="000000" w:themeColor="text1"/>
          <w:sz w:val="16"/>
          <w:szCs w:val="24"/>
          <w14:textFill>
            <w14:solidFill>
              <w14:schemeClr w14:val="tx1"/>
            </w14:solidFill>
          </w14:textFill>
        </w:rPr>
        <w:t>Int. Trans. Electr. Energy Syst.</w:t>
      </w:r>
      <w:r>
        <w:rPr>
          <w:color w:val="000000" w:themeColor="text1"/>
          <w:sz w:val="16"/>
          <w:szCs w:val="24"/>
          <w14:textFill>
            <w14:solidFill>
              <w14:schemeClr w14:val="tx1"/>
            </w14:solidFill>
          </w14:textFill>
        </w:rPr>
        <w:t>, vol. 2024, 2024, doi: 10.1155/2024/9921062.</w:t>
      </w:r>
    </w:p>
    <w:p w14:paraId="37D1587A">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[2</w:t>
      </w:r>
      <w:r>
        <w:rPr>
          <w:rFonts w:hint="default"/>
          <w:color w:val="000000" w:themeColor="text1"/>
          <w:sz w:val="16"/>
          <w:szCs w:val="24"/>
          <w:lang w:val="en-US"/>
          <w14:textFill>
            <w14:solidFill>
              <w14:schemeClr w14:val="tx1"/>
            </w14:solidFill>
          </w14:textFill>
        </w:rPr>
        <w:t>1</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S. S. Rad </w:t>
      </w:r>
      <w:r>
        <w:rPr>
          <w:i/>
          <w:iCs/>
          <w:color w:val="000000" w:themeColor="text1"/>
          <w:sz w:val="16"/>
          <w:szCs w:val="24"/>
          <w14:textFill>
            <w14:solidFill>
              <w14:schemeClr w14:val="tx1"/>
            </w14:solidFill>
          </w14:textFill>
        </w:rPr>
        <w:t>et al.</w:t>
      </w:r>
      <w:r>
        <w:rPr>
          <w:color w:val="000000" w:themeColor="text1"/>
          <w:sz w:val="16"/>
          <w:szCs w:val="24"/>
          <w14:textFill>
            <w14:solidFill>
              <w14:schemeClr w14:val="tx1"/>
            </w14:solidFill>
          </w14:textFill>
        </w:rPr>
        <w:t xml:space="preserve">, “A Novel Approach in Evaluating Battery Charger Controller Design with Nonlinear PID Controller for an Extendable CHIL Setup,” in </w:t>
      </w:r>
      <w:r>
        <w:rPr>
          <w:i/>
          <w:iCs/>
          <w:color w:val="000000" w:themeColor="text1"/>
          <w:sz w:val="16"/>
          <w:szCs w:val="24"/>
          <w14:textFill>
            <w14:solidFill>
              <w14:schemeClr w14:val="tx1"/>
            </w14:solidFill>
          </w14:textFill>
        </w:rPr>
        <w:t>2024 IEEE Transportation Electrification Conference and Expo (ITEC)</w:t>
      </w:r>
      <w:r>
        <w:rPr>
          <w:color w:val="000000" w:themeColor="text1"/>
          <w:sz w:val="16"/>
          <w:szCs w:val="24"/>
          <w14:textFill>
            <w14:solidFill>
              <w14:schemeClr w14:val="tx1"/>
            </w14:solidFill>
          </w14:textFill>
        </w:rPr>
        <w:t>, 2024, pp. 1–5.</w:t>
      </w:r>
    </w:p>
    <w:p w14:paraId="753C0759">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[2</w:t>
      </w:r>
      <w:r>
        <w:rPr>
          <w:rFonts w:hint="default"/>
          <w:color w:val="000000" w:themeColor="text1"/>
          <w:sz w:val="16"/>
          <w:szCs w:val="24"/>
          <w:lang w:val="en-US"/>
          <w14:textFill>
            <w14:solidFill>
              <w14:schemeClr w14:val="tx1"/>
            </w14:solidFill>
          </w14:textFill>
        </w:rPr>
        <w:t>2</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L. H. Fang, M. I. F. Romli, R. A. Rahim, M. E. A. Aziz, D. H. A. Rahman, and H. H. Mokhtaruddin, “Development of an advanced current mode charging control strategy system for electric vehicle batteries,” </w:t>
      </w:r>
      <w:r>
        <w:rPr>
          <w:i/>
          <w:iCs/>
          <w:color w:val="000000" w:themeColor="text1"/>
          <w:sz w:val="16"/>
          <w:szCs w:val="24"/>
          <w14:textFill>
            <w14:solidFill>
              <w14:schemeClr w14:val="tx1"/>
            </w14:solidFill>
          </w14:textFill>
        </w:rPr>
        <w:t>Int. J. Power Electron. Drive Syst.</w:t>
      </w:r>
      <w:r>
        <w:rPr>
          <w:color w:val="000000" w:themeColor="text1"/>
          <w:sz w:val="16"/>
          <w:szCs w:val="24"/>
          <w14:textFill>
            <w14:solidFill>
              <w14:schemeClr w14:val="tx1"/>
            </w14:solidFill>
          </w14:textFill>
        </w:rPr>
        <w:t>, vol. 15, no. 4, p. 2639, Dec. 2024, doi: 10.11591/ijpeds.v15.i4.pp2639-2650.</w:t>
      </w:r>
    </w:p>
    <w:p w14:paraId="1AF2E908">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[2</w:t>
      </w:r>
      <w:r>
        <w:rPr>
          <w:rFonts w:hint="default"/>
          <w:color w:val="000000" w:themeColor="text1"/>
          <w:sz w:val="16"/>
          <w:szCs w:val="24"/>
          <w:lang w:val="en-US"/>
          <w14:textFill>
            <w14:solidFill>
              <w14:schemeClr w14:val="tx1"/>
            </w14:solidFill>
          </w14:textFill>
        </w:rPr>
        <w:t>3</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B. T. Gul and I. Ahmad, “Optimized ANFIS-Based Robust Nonlinear Control of a Solar Off-Grid Charging Station for Electric Vehicles,” </w:t>
      </w:r>
      <w:r>
        <w:rPr>
          <w:i/>
          <w:iCs/>
          <w:color w:val="000000" w:themeColor="text1"/>
          <w:sz w:val="16"/>
          <w:szCs w:val="24"/>
          <w14:textFill>
            <w14:solidFill>
              <w14:schemeClr w14:val="tx1"/>
            </w14:solidFill>
          </w14:textFill>
        </w:rPr>
        <w:t>IEEE Access</w:t>
      </w:r>
      <w:r>
        <w:rPr>
          <w:color w:val="000000" w:themeColor="text1"/>
          <w:sz w:val="16"/>
          <w:szCs w:val="24"/>
          <w14:textFill>
            <w14:solidFill>
              <w14:schemeClr w14:val="tx1"/>
            </w14:solidFill>
          </w14:textFill>
        </w:rPr>
        <w:t>, vol. 13, no. December 2024, pp. 20361–20373, 2025, doi: 10.1109/ACCESS.2025.3535571.</w:t>
      </w:r>
    </w:p>
    <w:p w14:paraId="73E28995">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[2</w:t>
      </w:r>
      <w:r>
        <w:rPr>
          <w:rFonts w:hint="default"/>
          <w:color w:val="000000" w:themeColor="text1"/>
          <w:sz w:val="16"/>
          <w:szCs w:val="24"/>
          <w:lang w:val="en-US"/>
          <w14:textFill>
            <w14:solidFill>
              <w14:schemeClr w14:val="tx1"/>
            </w14:solidFill>
          </w14:textFill>
        </w:rPr>
        <w:t>4</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N. D. Tuyen, N. V. M. Tam, and T. P. Hoa, “LCL filter based high power density AC/DC converter for fast charging applications,” </w:t>
      </w:r>
      <w:r>
        <w:rPr>
          <w:i/>
          <w:iCs/>
          <w:color w:val="000000" w:themeColor="text1"/>
          <w:sz w:val="16"/>
          <w:szCs w:val="24"/>
          <w14:textFill>
            <w14:solidFill>
              <w14:schemeClr w14:val="tx1"/>
            </w14:solidFill>
          </w14:textFill>
        </w:rPr>
        <w:t>Int. J. Power Electron. Drive Syst.</w:t>
      </w:r>
      <w:r>
        <w:rPr>
          <w:color w:val="000000" w:themeColor="text1"/>
          <w:sz w:val="16"/>
          <w:szCs w:val="24"/>
          <w14:textFill>
            <w14:solidFill>
              <w14:schemeClr w14:val="tx1"/>
            </w14:solidFill>
          </w14:textFill>
        </w:rPr>
        <w:t>, vol. 15, no. 4, p. 2308, Dec. 2024, doi: 10.11591/ijpeds.v15.i4.pp2308-2322.</w:t>
      </w:r>
    </w:p>
    <w:p w14:paraId="54C50360">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[2</w:t>
      </w:r>
      <w:r>
        <w:rPr>
          <w:rFonts w:hint="default"/>
          <w:color w:val="000000" w:themeColor="text1"/>
          <w:sz w:val="16"/>
          <w:szCs w:val="24"/>
          <w:lang w:val="en-US"/>
          <w14:textFill>
            <w14:solidFill>
              <w14:schemeClr w14:val="tx1"/>
            </w14:solidFill>
          </w14:textFill>
        </w:rPr>
        <w:t>5</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F. D. Murdianto, I. Sudiharto, and A. F. Andraeni, “Active balancing charging using ANFIS to reach longest lifetime for lithium ion,” </w:t>
      </w:r>
      <w:r>
        <w:rPr>
          <w:i/>
          <w:iCs/>
          <w:color w:val="000000" w:themeColor="text1"/>
          <w:sz w:val="16"/>
          <w:szCs w:val="24"/>
          <w14:textFill>
            <w14:solidFill>
              <w14:schemeClr w14:val="tx1"/>
            </w14:solidFill>
          </w14:textFill>
        </w:rPr>
        <w:t>Int. J. Power Electron. Drive Syst.</w:t>
      </w:r>
      <w:r>
        <w:rPr>
          <w:color w:val="000000" w:themeColor="text1"/>
          <w:sz w:val="16"/>
          <w:szCs w:val="24"/>
          <w14:textFill>
            <w14:solidFill>
              <w14:schemeClr w14:val="tx1"/>
            </w14:solidFill>
          </w14:textFill>
        </w:rPr>
        <w:t>, vol. 15, no. 4, p. 2168, Dec. 2024, doi: 10.11591/ijpeds.v15.i4.pp2168-2179.</w:t>
      </w:r>
    </w:p>
    <w:p w14:paraId="251F6998">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[2</w:t>
      </w:r>
      <w:r>
        <w:rPr>
          <w:rFonts w:hint="default"/>
          <w:color w:val="000000" w:themeColor="text1"/>
          <w:sz w:val="16"/>
          <w:szCs w:val="24"/>
          <w:lang w:val="en-US"/>
          <w14:textFill>
            <w14:solidFill>
              <w14:schemeClr w14:val="tx1"/>
            </w14:solidFill>
          </w14:textFill>
        </w:rPr>
        <w:t>6</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M. U. Tahir, A. Sangwongwanich, D. I. Stroe, and F. Blaabjerg, “Multi-objective optimization for multi-stage constant current charging for Li-ion batteries,” </w:t>
      </w:r>
      <w:r>
        <w:rPr>
          <w:i/>
          <w:iCs/>
          <w:color w:val="000000" w:themeColor="text1"/>
          <w:sz w:val="16"/>
          <w:szCs w:val="24"/>
          <w14:textFill>
            <w14:solidFill>
              <w14:schemeClr w14:val="tx1"/>
            </w14:solidFill>
          </w14:textFill>
        </w:rPr>
        <w:t>J. Energy Storage</w:t>
      </w:r>
      <w:r>
        <w:rPr>
          <w:color w:val="000000" w:themeColor="text1"/>
          <w:sz w:val="16"/>
          <w:szCs w:val="24"/>
          <w14:textFill>
            <w14:solidFill>
              <w14:schemeClr w14:val="tx1"/>
            </w14:solidFill>
          </w14:textFill>
        </w:rPr>
        <w:t>, vol. 86, no. PA, p. 111313, 2024, doi: 10.1016/j.est.2024.111313.</w:t>
      </w:r>
    </w:p>
    <w:p w14:paraId="4122BF64">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szCs w:val="24"/>
          <w14:textFill>
            <w14:solidFill>
              <w14:schemeClr w14:val="tx1"/>
            </w14:solidFill>
          </w14:textFill>
        </w:rPr>
      </w:pPr>
      <w:r>
        <w:rPr>
          <w:color w:val="000000" w:themeColor="text1"/>
          <w:sz w:val="16"/>
          <w:szCs w:val="24"/>
          <w14:textFill>
            <w14:solidFill>
              <w14:schemeClr w14:val="tx1"/>
            </w14:solidFill>
          </w14:textFill>
        </w:rPr>
        <w:t>[2</w:t>
      </w:r>
      <w:r>
        <w:rPr>
          <w:rFonts w:hint="default"/>
          <w:color w:val="000000" w:themeColor="text1"/>
          <w:sz w:val="16"/>
          <w:szCs w:val="24"/>
          <w:lang w:val="en-US"/>
          <w14:textFill>
            <w14:solidFill>
              <w14:schemeClr w14:val="tx1"/>
            </w14:solidFill>
          </w14:textFill>
        </w:rPr>
        <w:t>7</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Y. Du, Z. Zhang, Z. Zuo, and Y. Wang, “Lithium battery charging optimization via multi-stage combined charging strategy in solar-powered vehicles,” </w:t>
      </w:r>
      <w:r>
        <w:rPr>
          <w:i/>
          <w:iCs/>
          <w:color w:val="000000" w:themeColor="text1"/>
          <w:sz w:val="16"/>
          <w:szCs w:val="24"/>
          <w14:textFill>
            <w14:solidFill>
              <w14:schemeClr w14:val="tx1"/>
            </w14:solidFill>
          </w14:textFill>
        </w:rPr>
        <w:t>J. Energy Storage</w:t>
      </w:r>
      <w:r>
        <w:rPr>
          <w:color w:val="000000" w:themeColor="text1"/>
          <w:sz w:val="16"/>
          <w:szCs w:val="24"/>
          <w14:textFill>
            <w14:solidFill>
              <w14:schemeClr w14:val="tx1"/>
            </w14:solidFill>
          </w14:textFill>
        </w:rPr>
        <w:t>, vol. 83, no. January, p. 110716, 2024, doi: 10.1016/j.est.2024.110716.</w:t>
      </w:r>
    </w:p>
    <w:p w14:paraId="6D152AA1">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6"/>
          <w14:textFill>
            <w14:solidFill>
              <w14:schemeClr w14:val="tx1"/>
            </w14:solidFill>
          </w14:textFill>
        </w:rPr>
      </w:pPr>
      <w:r>
        <w:rPr>
          <w:color w:val="000000" w:themeColor="text1"/>
          <w:sz w:val="16"/>
          <w:szCs w:val="24"/>
          <w14:textFill>
            <w14:solidFill>
              <w14:schemeClr w14:val="tx1"/>
            </w14:solidFill>
          </w14:textFill>
        </w:rPr>
        <w:t>[2</w:t>
      </w:r>
      <w:r>
        <w:rPr>
          <w:rFonts w:hint="default"/>
          <w:color w:val="000000" w:themeColor="text1"/>
          <w:sz w:val="16"/>
          <w:szCs w:val="24"/>
          <w:lang w:val="en-US"/>
          <w14:textFill>
            <w14:solidFill>
              <w14:schemeClr w14:val="tx1"/>
            </w14:solidFill>
          </w14:textFill>
        </w:rPr>
        <w:t>8</w:t>
      </w:r>
      <w:r>
        <w:rPr>
          <w:color w:val="000000" w:themeColor="text1"/>
          <w:sz w:val="16"/>
          <w:szCs w:val="24"/>
          <w14:textFill>
            <w14:solidFill>
              <w14:schemeClr w14:val="tx1"/>
            </w14:solidFill>
          </w14:textFill>
        </w:rPr>
        <w:t>]</w:t>
      </w:r>
      <w:r>
        <w:rPr>
          <w:color w:val="000000" w:themeColor="text1"/>
          <w:sz w:val="16"/>
          <w:szCs w:val="24"/>
          <w14:textFill>
            <w14:solidFill>
              <w14:schemeClr w14:val="tx1"/>
            </w14:solidFill>
          </w14:textFill>
        </w:rPr>
        <w:tab/>
      </w:r>
      <w:r>
        <w:rPr>
          <w:color w:val="000000" w:themeColor="text1"/>
          <w:sz w:val="16"/>
          <w:szCs w:val="24"/>
          <w14:textFill>
            <w14:solidFill>
              <w14:schemeClr w14:val="tx1"/>
            </w14:solidFill>
          </w14:textFill>
        </w:rPr>
        <w:t xml:space="preserve">M. Irwanto </w:t>
      </w:r>
      <w:r>
        <w:rPr>
          <w:i/>
          <w:iCs/>
          <w:color w:val="000000" w:themeColor="text1"/>
          <w:sz w:val="16"/>
          <w:szCs w:val="24"/>
          <w14:textFill>
            <w14:solidFill>
              <w14:schemeClr w14:val="tx1"/>
            </w14:solidFill>
          </w14:textFill>
        </w:rPr>
        <w:t>et al.</w:t>
      </w:r>
      <w:r>
        <w:rPr>
          <w:color w:val="000000" w:themeColor="text1"/>
          <w:sz w:val="16"/>
          <w:szCs w:val="24"/>
          <w14:textFill>
            <w14:solidFill>
              <w14:schemeClr w14:val="tx1"/>
            </w14:solidFill>
          </w14:textFill>
        </w:rPr>
        <w:t xml:space="preserve">, “Photovoltaic powered DC-DC boost converter based on PID controller for battery charging system,” in </w:t>
      </w:r>
      <w:r>
        <w:rPr>
          <w:i/>
          <w:iCs/>
          <w:color w:val="000000" w:themeColor="text1"/>
          <w:sz w:val="16"/>
          <w:szCs w:val="24"/>
          <w14:textFill>
            <w14:solidFill>
              <w14:schemeClr w14:val="tx1"/>
            </w14:solidFill>
          </w14:textFill>
        </w:rPr>
        <w:t>Journal of Physics: Conference Series</w:t>
      </w:r>
      <w:r>
        <w:rPr>
          <w:color w:val="000000" w:themeColor="text1"/>
          <w:sz w:val="16"/>
          <w:szCs w:val="24"/>
          <w14:textFill>
            <w14:solidFill>
              <w14:schemeClr w14:val="tx1"/>
            </w14:solidFill>
          </w14:textFill>
        </w:rPr>
        <w:t>, 2020, vol. 1432, no. 1, p. 12055.</w:t>
      </w:r>
    </w:p>
    <w:p w14:paraId="7B964D37">
      <w:pPr>
        <w:pStyle w:val="58"/>
        <w:tabs>
          <w:tab w:val="clear" w:pos="432"/>
        </w:tabs>
        <w:rPr>
          <w:color w:val="000000" w:themeColor="text1"/>
          <w14:textFill>
            <w14:solidFill>
              <w14:schemeClr w14:val="tx1"/>
            </w14:solidFill>
          </w14:textFill>
        </w:rPr>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pPr>
      <w:r>
        <w:rPr>
          <w:color w:val="000000" w:themeColor="text1"/>
          <w14:textFill>
            <w14:solidFill>
              <w14:schemeClr w14:val="tx1"/>
            </w14:solidFill>
          </w14:textFill>
        </w:rPr>
        <w:fldChar w:fldCharType="end"/>
      </w:r>
    </w:p>
    <w:p w14:paraId="501D3E00">
      <w:pPr>
        <w:spacing w:after="120"/>
        <w:rPr>
          <w:color w:val="000000" w:themeColor="text1"/>
          <w:sz w:val="18"/>
          <w14:textFill>
            <w14:solidFill>
              <w14:schemeClr w14:val="tx1"/>
            </w14:solidFill>
          </w14:textFill>
        </w:rPr>
      </w:pPr>
    </w:p>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80"/>
    <w:family w:val="swiss"/>
    <w:pitch w:val="default"/>
    <w:sig w:usb0="00000000" w:usb1="00000000" w:usb2="0000003F" w:usb3="00000000" w:csb0="003F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280E6">
    <w:pPr>
      <w:pStyle w:val="16"/>
      <w:pBdr>
        <w:bottom w:val="single" w:color="auto" w:sz="4" w:space="1"/>
      </w:pBdr>
      <w:tabs>
        <w:tab w:val="left" w:pos="7320"/>
      </w:tabs>
      <w:ind w:firstLine="0"/>
    </w:pPr>
  </w:p>
  <w:p w14:paraId="4480AE60">
    <w:pPr>
      <w:pStyle w:val="13"/>
      <w:jc w:val="right"/>
    </w:pPr>
    <w:r>
      <w:rPr>
        <w:sz w:val="16"/>
        <w:szCs w:val="16"/>
      </w:rPr>
      <w:t xml:space="preserve">JURNAL ELEKTRONIKA DAN TELEKOMUNIKASI, Vol. </w:t>
    </w:r>
    <w:r>
      <w:rPr>
        <w:rFonts w:hint="default"/>
        <w:sz w:val="16"/>
        <w:szCs w:val="16"/>
        <w:lang w:val="en-US"/>
      </w:rPr>
      <w:t>25</w:t>
    </w:r>
    <w:r>
      <w:rPr>
        <w:sz w:val="16"/>
        <w:szCs w:val="16"/>
      </w:rPr>
      <w:t>, No.</w:t>
    </w:r>
    <w:r>
      <w:rPr>
        <w:rFonts w:hint="default"/>
        <w:sz w:val="16"/>
        <w:szCs w:val="16"/>
        <w:lang w:val="en-US"/>
      </w:rPr>
      <w:t xml:space="preserve"> 2</w:t>
    </w:r>
    <w:r>
      <w:rPr>
        <w:sz w:val="16"/>
        <w:szCs w:val="16"/>
      </w:rPr>
      <w:t xml:space="preserve">, </w:t>
    </w:r>
    <w:r>
      <w:rPr>
        <w:rFonts w:hint="default"/>
        <w:sz w:val="16"/>
        <w:szCs w:val="16"/>
        <w:lang w:val="en-US"/>
      </w:rPr>
      <w:t>December 2025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4BE77">
    <w:pPr>
      <w:pStyle w:val="16"/>
      <w:pBdr>
        <w:bottom w:val="single" w:color="auto" w:sz="4" w:space="1"/>
      </w:pBdr>
      <w:ind w:firstLine="0"/>
    </w:pPr>
  </w:p>
  <w:p w14:paraId="1582D39F">
    <w:pPr>
      <w:pStyle w:val="13"/>
      <w:ind w:firstLine="0"/>
      <w:jc w:val="left"/>
    </w:pPr>
    <w:r>
      <w:rPr>
        <w:sz w:val="16"/>
        <w:szCs w:val="16"/>
      </w:rPr>
      <w:t>p-ISSN: 1411-8289; e-ISSN: 2527-9955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4325">
    <w:pPr>
      <w:pStyle w:val="13"/>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EA7C2">
    <w:pPr>
      <w:pStyle w:val="20"/>
      <w:spacing w:after="0"/>
      <w:jc w:val="right"/>
      <w:rPr>
        <w:b w:val="0"/>
        <w:iCs/>
        <w:sz w:val="16"/>
        <w:szCs w:val="16"/>
      </w:rPr>
    </w:pPr>
    <w:r>
      <w:rPr>
        <w:rFonts w:hint="default"/>
        <w:b w:val="0"/>
        <w:sz w:val="16"/>
        <w:szCs w:val="16"/>
      </w:rPr>
      <w:t>PID Controller-Based Closed-Loop Fast Charging of Lithium-Ion Batteries Using the CCCV Method</w:t>
    </w:r>
    <w:r>
      <w:rPr>
        <w:b w:val="0"/>
        <w:sz w:val="16"/>
        <w:szCs w:val="16"/>
      </w:rPr>
      <w:t xml:space="preserve">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15</w:t>
    </w:r>
    <w:r>
      <w:rPr>
        <w:b w:val="0"/>
        <w:sz w:val="16"/>
        <w:szCs w:val="16"/>
      </w:rPr>
      <w:fldChar w:fldCharType="end"/>
    </w:r>
  </w:p>
  <w:p w14:paraId="399AD69C">
    <w:pPr>
      <w:pStyle w:val="16"/>
      <w:pBdr>
        <w:bottom w:val="single" w:color="auto" w:sz="4" w:space="0"/>
      </w:pBdr>
      <w:ind w:firstLine="0"/>
      <w:rPr>
        <w:sz w:val="2"/>
        <w:szCs w:val="2"/>
      </w:rPr>
    </w:pPr>
  </w:p>
  <w:p w14:paraId="19628EF1">
    <w:pPr>
      <w:pStyle w:val="16"/>
      <w:ind w:firstLine="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1D482">
    <w:pPr>
      <w:pStyle w:val="16"/>
      <w:pBdr>
        <w:bottom w:val="single" w:color="auto" w:sz="4" w:space="1"/>
      </w:pBdr>
      <w:ind w:firstLine="0"/>
    </w:pPr>
    <w:r>
      <w:rPr>
        <w:sz w:val="16"/>
        <w:szCs w:val="16"/>
      </w:rPr>
      <w:fldChar w:fldCharType="begin"/>
    </w:r>
    <w:r>
      <w:rPr>
        <w:sz w:val="16"/>
        <w:szCs w:val="16"/>
      </w:rPr>
      <w:instrText xml:space="preserve"> PAGE   \* MERGEFORMAT </w:instrText>
    </w:r>
    <w:r>
      <w:rPr>
        <w:sz w:val="16"/>
        <w:szCs w:val="16"/>
      </w:rPr>
      <w:fldChar w:fldCharType="separate"/>
    </w:r>
    <w:r>
      <w:rPr>
        <w:sz w:val="16"/>
        <w:szCs w:val="16"/>
      </w:rPr>
      <w:t>16</w:t>
    </w:r>
    <w:r>
      <w:rPr>
        <w:sz w:val="16"/>
        <w:szCs w:val="16"/>
      </w:rPr>
      <w:fldChar w:fldCharType="end"/>
    </w:r>
    <w:r>
      <w:rPr>
        <w:sz w:val="16"/>
        <w:szCs w:val="16"/>
      </w:rPr>
      <w:t xml:space="preserve">  </w:t>
    </w:r>
    <w:r>
      <w:rPr>
        <w:sz w:val="16"/>
        <w:szCs w:val="16"/>
      </w:rPr>
      <w:sym w:font="Symbol" w:char="F0B7"/>
    </w:r>
    <w:r>
      <w:rPr>
        <w:sz w:val="16"/>
        <w:szCs w:val="16"/>
      </w:rPr>
      <w:t xml:space="preserve">  </w:t>
    </w:r>
    <w:r>
      <w:rPr>
        <w:rFonts w:hint="default"/>
        <w:sz w:val="16"/>
        <w:szCs w:val="16"/>
        <w:lang w:val="en-US"/>
      </w:rPr>
      <w:t>Tole Sutikno</w:t>
    </w:r>
    <w:r>
      <w:rPr>
        <w:sz w:val="16"/>
        <w:szCs w:val="16"/>
        <w:lang w:val="en-US"/>
      </w:rPr>
      <w:t>,</w:t>
    </w:r>
    <w:r>
      <w:rPr>
        <w:sz w:val="16"/>
        <w:szCs w:val="16"/>
      </w:rPr>
      <w:t xml:space="preserve"> et. al.</w:t>
    </w:r>
  </w:p>
  <w:p w14:paraId="216959F0">
    <w:pPr>
      <w:pStyle w:val="16"/>
      <w:ind w:left="0" w:leftChars="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DAD01">
    <w:pPr>
      <w:pStyle w:val="16"/>
      <w:pBdr>
        <w:bottom w:val="none" w:color="auto" w:sz="0" w:space="0"/>
      </w:pBdr>
      <w:ind w:firstLine="0"/>
      <w:rPr>
        <w:rFonts w:hint="default"/>
        <w:lang w:val="en-US"/>
      </w:rPr>
    </w:pPr>
    <w:r>
      <w:rPr>
        <w:rFonts w:hint="default"/>
        <w:b/>
        <w:lang w:val="en-US"/>
      </w:rPr>
      <w:tab/>
    </w:r>
    <w:r>
      <w:rPr>
        <w:rFonts w:hint="default"/>
        <w:b/>
        <w:lang w:val="en-US"/>
      </w:rPr>
      <w:t xml:space="preserve">           </w:t>
    </w:r>
    <w:r>
      <w:rPr>
        <w:b/>
      </w:rPr>
      <w:t>Jurnal Elektronika dan Telekomunikasi (JET)</w:t>
    </w:r>
    <w:r>
      <w:t>, Vol. 2</w:t>
    </w:r>
    <w:r>
      <w:rPr>
        <w:rFonts w:hint="default"/>
        <w:lang w:val="en-US"/>
      </w:rPr>
      <w:t>5</w:t>
    </w:r>
    <w:r>
      <w:t>, No.</w:t>
    </w:r>
    <w:r>
      <w:rPr>
        <w:rFonts w:hint="default"/>
        <w:lang w:val="en-US"/>
      </w:rPr>
      <w:t xml:space="preserve"> 2</w:t>
    </w:r>
    <w:r>
      <w:t xml:space="preserve">, </w:t>
    </w:r>
    <w:r>
      <w:rPr>
        <w:rFonts w:hint="default"/>
        <w:lang w:val="en-US"/>
      </w:rPr>
      <w:t xml:space="preserve">December </w:t>
    </w:r>
    <w:r>
      <w:rPr>
        <w:lang w:val="en-US"/>
      </w:rPr>
      <w:t>202</w:t>
    </w:r>
    <w:r>
      <w:rPr>
        <w:rFonts w:hint="default"/>
        <w:lang w:val="en-US"/>
      </w:rPr>
      <w:t>5</w:t>
    </w:r>
    <w:r>
      <w:t xml:space="preserve">, pp. </w:t>
    </w:r>
    <w:r>
      <w:rPr>
        <w:rFonts w:hint="default"/>
        <w:sz w:val="20"/>
        <w:lang w:val="en-US"/>
      </w:rPr>
      <mc:AlternateContent>
        <mc:Choice Requires="wps">
          <w:drawing>
            <wp:anchor distT="0" distB="0" distL="114300" distR="114300" simplePos="0" relativeHeight="251661312" behindDoc="0" locked="0" layoutInCell="1" allowOverlap="1">
              <wp:simplePos x="0" y="0"/>
              <wp:positionH relativeFrom="margin">
                <wp:posOffset>2853055</wp:posOffset>
              </wp:positionH>
              <wp:positionV relativeFrom="paragraph">
                <wp:posOffset>0</wp:posOffset>
              </wp:positionV>
              <wp:extent cx="1828800" cy="1828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F4E4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4.65pt;margin-top:0pt;height:144pt;width:144pt;mso-position-horizontal-relative:margin;mso-wrap-style:none;z-index:251661312;mso-width-relative:page;mso-height-relative:page;" filled="f" stroked="f" coordsize="21600,21600" o:gfxdata="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JU61Z1QAA&#10;AAgBAAAPAAAAAAAAAAEAIAAAACIAAABkcnMvZG93bnJldi54bWxQSwECFAAUAAAACACHTuJAZkBm&#10;RCECAABiBAAADgAAAAAAAAABACAAAAAkAQAAZHJzL2Uyb0RvYy54bWxQSwUGAAAAAAYABgBZAQAA&#10;twUAAAAA&#10;">
              <v:fill on="f" focussize="0,0"/>
              <v:stroke on="f" weight="0.5pt"/>
              <v:imagedata o:title=""/>
              <o:lock v:ext="edit" aspectratio="f"/>
              <v:textbox inset="0mm,0mm,0mm,0mm" style="mso-fit-shape-to-text:t;">
                <w:txbxContent>
                  <w:p w14:paraId="3BBF4E4E"/>
                </w:txbxContent>
              </v:textbox>
            </v:shape>
          </w:pict>
        </mc:Fallback>
      </mc:AlternateContent>
    </w:r>
    <w:r>
      <w:rPr>
        <w:rFonts w:hint="default"/>
        <w:sz w:val="20"/>
        <w:lang w:val="en-US"/>
      </w:rPr>
      <mc:AlternateContent>
        <mc:Choice Requires="wps">
          <w:drawing>
            <wp:anchor distT="0" distB="0" distL="114300" distR="114300" simplePos="0" relativeHeight="251661312" behindDoc="0" locked="0" layoutInCell="1" allowOverlap="1">
              <wp:simplePos x="0" y="0"/>
              <wp:positionH relativeFrom="margin">
                <wp:posOffset>2831465</wp:posOffset>
              </wp:positionH>
              <wp:positionV relativeFrom="paragraph">
                <wp:posOffset>4445</wp:posOffset>
              </wp:positionV>
              <wp:extent cx="1828800" cy="1828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1703AC">
                          <w:pPr>
                            <w:pStyle w:val="16"/>
                          </w:pPr>
                        </w:p>
                      </w:txbxContent>
                    </wps:txbx>
                    <wps:bodyPr wrap="none" lIns="0" tIns="0" rIns="0" bIns="0" upright="0">
                      <a:spAutoFit/>
                    </wps:bodyPr>
                  </wps:wsp>
                </a:graphicData>
              </a:graphic>
            </wp:anchor>
          </w:drawing>
        </mc:Choice>
        <mc:Fallback>
          <w:pict>
            <v:shape id="_x0000_s1026" o:spid="_x0000_s1026" o:spt="202" type="#_x0000_t202" style="position:absolute;left:0pt;margin-left:222.95pt;margin-top:0.35pt;height:144pt;width:144pt;mso-position-horizontal-relative:margin;mso-wrap-style:none;z-index:251661312;mso-width-relative:page;mso-height-relative:page;" filled="f" stroked="f" coordsize="21600,21600" o:gfxdata="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K2OydUAAAAIAQAADwAAAAAAAAABACAAAAAiAAAAZHJzL2Rvd25yZXYueG1sUEsBAhQAFAAA&#10;AAgAh07iQHj9/y25AQAAmgMAAA4AAAAAAAAAAQAgAAAAJAEAAGRycy9lMm9Eb2MueG1sUEsFBgAA&#10;AAAGAAYAWQEAAE8FAAAAAA==&#10;">
              <v:fill on="f" focussize="0,0"/>
              <v:stroke on="f"/>
              <v:imagedata o:title=""/>
              <o:lock v:ext="edit" aspectratio="f"/>
              <v:textbox inset="0mm,0mm,0mm,0mm" style="mso-fit-shape-to-text:t;">
                <w:txbxContent>
                  <w:p w14:paraId="781703AC">
                    <w:pPr>
                      <w:pStyle w:val="16"/>
                    </w:pPr>
                  </w:p>
                </w:txbxContent>
              </v:textbox>
            </v:shape>
          </w:pict>
        </mc:Fallback>
      </mc:AlternateContent>
    </w:r>
    <w:r>
      <w:rPr>
        <w:rFonts w:hint="default"/>
        <w:lang w:val="en-US"/>
      </w:rPr>
      <w:drawing>
        <wp:anchor distT="0" distB="0" distL="114300" distR="114300" simplePos="0" relativeHeight="251660288" behindDoc="0" locked="0" layoutInCell="1" allowOverlap="1">
          <wp:simplePos x="0" y="0"/>
          <wp:positionH relativeFrom="column">
            <wp:posOffset>-36830</wp:posOffset>
          </wp:positionH>
          <wp:positionV relativeFrom="paragraph">
            <wp:posOffset>-63500</wp:posOffset>
          </wp:positionV>
          <wp:extent cx="749300" cy="466090"/>
          <wp:effectExtent l="0" t="0" r="12700" b="6350"/>
          <wp:wrapSquare wrapText="bothSides"/>
          <wp:docPr id="41" name="Picture 41"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chaeriah\Videos\JET_logo.png"/>
                  <pic:cNvPicPr>
                    <a:picLocks noChangeAspect="1"/>
                  </pic:cNvPicPr>
                </pic:nvPicPr>
                <pic:blipFill>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a:fillRect/>
                  </a:stretch>
                </pic:blipFill>
                <pic:spPr>
                  <a:xfrm>
                    <a:off x="0" y="0"/>
                    <a:ext cx="749300" cy="466090"/>
                  </a:xfrm>
                  <a:prstGeom prst="rect">
                    <a:avLst/>
                  </a:prstGeom>
                  <a:noFill/>
                  <a:ln>
                    <a:noFill/>
                  </a:ln>
                </pic:spPr>
              </pic:pic>
            </a:graphicData>
          </a:graphic>
        </wp:anchor>
      </w:drawing>
    </w:r>
    <w:r>
      <w:rPr>
        <w:rFonts w:hint="default"/>
        <w:lang w:val="en-US"/>
      </w:rPr>
      <w:t>162-169</w:t>
    </w:r>
    <w:r>
      <w:rPr>
        <w:rFonts w:hint="default"/>
        <w:b/>
        <w:lang w:val="en-US"/>
      </w:rPr>
      <w:tab/>
    </w:r>
    <w:r>
      <w:rPr>
        <w:rFonts w:hint="default"/>
        <w:b/>
        <w:lang w:val="en-US"/>
      </w:rPr>
      <w:t xml:space="preserve">   </w:t>
    </w:r>
  </w:p>
  <w:p w14:paraId="00856137">
    <w:pPr>
      <w:pStyle w:val="16"/>
      <w:pBdr>
        <w:bottom w:val="none" w:color="auto" w:sz="0" w:space="0"/>
      </w:pBdr>
      <w:ind w:left="1134" w:firstLine="0"/>
      <w:rPr>
        <w:lang w:val="en-US"/>
      </w:rPr>
    </w:pPr>
    <w:r>
      <w:t xml:space="preserve">Accredited by RISTEKDIKTI, Decree No: </w:t>
    </w:r>
    <w:r>
      <w:rPr>
        <w:b/>
        <w:bCs/>
        <w:lang w:val="en-US"/>
      </w:rPr>
      <w:t>158</w:t>
    </w:r>
    <w:r>
      <w:rPr>
        <w:b/>
        <w:bCs/>
        <w:iCs/>
      </w:rPr>
      <w:t>/E/KPT/20</w:t>
    </w:r>
    <w:r>
      <w:rPr>
        <w:b/>
        <w:bCs/>
        <w:iCs/>
        <w:lang w:val="en-US"/>
      </w:rPr>
      <w:t>21</w:t>
    </w:r>
  </w:p>
  <w:p w14:paraId="1771E7D5">
    <w:pPr>
      <w:pStyle w:val="16"/>
      <w:pBdr>
        <w:bottom w:val="none" w:color="auto" w:sz="0" w:space="0"/>
      </w:pBdr>
      <w:ind w:left="1134" w:firstLine="0"/>
      <w:rPr>
        <w:rFonts w:hint="default"/>
        <w:lang w:val="en-US"/>
      </w:rPr>
    </w:pPr>
    <w:r>
      <w:rPr>
        <w:lang w:eastAsia="id-ID"/>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192405</wp:posOffset>
              </wp:positionV>
              <wp:extent cx="5965825" cy="0"/>
              <wp:effectExtent l="0" t="19050" r="8255" b="26670"/>
              <wp:wrapNone/>
              <wp:docPr id="20" name="Straight Connector 20"/>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a:effectLst/>
                    </wps:spPr>
                    <wps:bodyPr/>
                  </wps:wsp>
                </a:graphicData>
              </a:graphic>
            </wp:anchor>
          </w:drawing>
        </mc:Choice>
        <mc:Fallback>
          <w:pict>
            <v:line id="_x0000_s1026" o:spid="_x0000_s1026" o:spt="20" style="position:absolute;left:0pt;margin-left:-1.4pt;margin-top:15.15pt;height:0pt;width:469.75pt;z-index:251659264;mso-width-relative:page;mso-height-relative:page;" filled="f" stroked="t" coordsize="21600,21600" o:gfxdata="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ppAgP1gAAAAgBAAAP&#10;AAAAAAAAAAEAIAAAACIAAABkcnMvZG93bnJldi54bWxQSwECFAAUAAAACACHTuJAPxusEeEBAADJ&#10;AwAADgAAAAAAAAABACAAAAAlAQAAZHJzL2Uyb0RvYy54bWxQSwUGAAAAAAYABgBZAQAAeAUAAAAA&#10;">
              <v:fill on="f" focussize="0,0"/>
              <v:stroke weight="3pt" color="#000000" linestyle="thinThin" joinstyle="round"/>
              <v:imagedata o:title=""/>
              <o:lock v:ext="edit" aspectratio="f"/>
            </v:line>
          </w:pict>
        </mc:Fallback>
      </mc:AlternateContent>
    </w:r>
    <w:r>
      <w:t>doi: 10.</w:t>
    </w:r>
    <w:r>
      <w:rPr>
        <w:lang w:val="en-US"/>
      </w:rPr>
      <w:t>55981</w:t>
    </w:r>
    <w:r>
      <w:t>/jet.</w:t>
    </w:r>
    <w:r>
      <w:rPr>
        <w:rFonts w:hint="default"/>
        <w:lang w:val="en-US"/>
      </w:rPr>
      <w:t>749</w:t>
    </w:r>
  </w:p>
  <w:p w14:paraId="1EB46ED9">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E2E4D"/>
    <w:multiLevelType w:val="multilevel"/>
    <w:tmpl w:val="023E2E4D"/>
    <w:lvl w:ilvl="0" w:tentative="0">
      <w:start w:val="1"/>
      <w:numFmt w:val="upperRoman"/>
      <w:pStyle w:val="56"/>
      <w:lvlText w:val="%1."/>
      <w:lvlJc w:val="left"/>
      <w:pPr>
        <w:tabs>
          <w:tab w:val="left" w:pos="288"/>
        </w:tabs>
        <w:ind w:left="288" w:hanging="288"/>
      </w:pPr>
      <w:rPr>
        <w:rFonts w:hint="default" w:ascii="Times New Roman" w:hAnsi="Times New Roman" w:eastAsia="Arial Unicode MS" w:cs="Times New Roman"/>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1">
    <w:nsid w:val="093D103A"/>
    <w:multiLevelType w:val="multilevel"/>
    <w:tmpl w:val="093D103A"/>
    <w:lvl w:ilvl="0" w:tentative="0">
      <w:start w:val="1"/>
      <w:numFmt w:val="upperRoman"/>
      <w:pStyle w:val="2"/>
      <w:lvlText w:val="%1."/>
      <w:lvlJc w:val="left"/>
      <w:pPr>
        <w:ind w:left="360" w:hanging="360"/>
      </w:pPr>
      <w:rPr>
        <w:rFonts w:hint="default"/>
        <w:color w:val="auto"/>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1DB136AD"/>
    <w:multiLevelType w:val="multilevel"/>
    <w:tmpl w:val="1DB136AD"/>
    <w:lvl w:ilvl="0" w:tentative="0">
      <w:start w:val="1"/>
      <w:numFmt w:val="decimal"/>
      <w:pStyle w:val="4"/>
      <w:lvlText w:val="%1)"/>
      <w:lvlJc w:val="left"/>
      <w:pPr>
        <w:ind w:left="360" w:hanging="360"/>
      </w:pPr>
      <w:rPr>
        <w:rFonts w:hint="default"/>
        <w:color w:val="000000" w:themeColor="text1"/>
        <w14:textFill>
          <w14:solidFill>
            <w14:schemeClr w14:val="tx1"/>
          </w14:solidFill>
        </w14:textFil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26111FF6"/>
    <w:multiLevelType w:val="multilevel"/>
    <w:tmpl w:val="26111FF6"/>
    <w:lvl w:ilvl="0" w:tentative="0">
      <w:start w:val="1"/>
      <w:numFmt w:val="upperRoman"/>
      <w:pStyle w:val="23"/>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2CAD2F3A"/>
    <w:multiLevelType w:val="multilevel"/>
    <w:tmpl w:val="2CAD2F3A"/>
    <w:lvl w:ilvl="0" w:tentative="0">
      <w:start w:val="1"/>
      <w:numFmt w:val="lowerLetter"/>
      <w:pStyle w:val="5"/>
      <w:lvlText w:val="%1)"/>
      <w:lvlJc w:val="left"/>
      <w:pPr>
        <w:ind w:left="644" w:hanging="360"/>
      </w:pPr>
      <w:rPr>
        <w:rFonts w:hint="default"/>
        <w:i/>
        <w:color w:val="000000" w:themeColor="text1"/>
        <w14:textFill>
          <w14:solidFill>
            <w14:schemeClr w14:val="tx1"/>
          </w14:solidFill>
        </w14:textFill>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5">
    <w:nsid w:val="30C653B9"/>
    <w:multiLevelType w:val="multilevel"/>
    <w:tmpl w:val="30C653B9"/>
    <w:lvl w:ilvl="0" w:tentative="0">
      <w:start w:val="1"/>
      <w:numFmt w:val="upperLetter"/>
      <w:pStyle w:val="3"/>
      <w:lvlText w:val="%1."/>
      <w:lvlJc w:val="left"/>
      <w:pPr>
        <w:ind w:left="360" w:hanging="360"/>
      </w:pPr>
      <w:rPr>
        <w:rFonts w:hint="default"/>
        <w:color w:val="000000" w:themeColor="text1"/>
        <w14:textFill>
          <w14:solidFill>
            <w14:schemeClr w14:val="tx1"/>
          </w14:solidFill>
        </w14:textFil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3EDB2783"/>
    <w:multiLevelType w:val="multilevel"/>
    <w:tmpl w:val="3EDB2783"/>
    <w:lvl w:ilvl="0" w:tentative="0">
      <w:start w:val="1"/>
      <w:numFmt w:val="upperLetter"/>
      <w:pStyle w:val="24"/>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50232215"/>
    <w:multiLevelType w:val="multilevel"/>
    <w:tmpl w:val="50232215"/>
    <w:lvl w:ilvl="0" w:tentative="0">
      <w:start w:val="1"/>
      <w:numFmt w:val="upperLetter"/>
      <w:pStyle w:val="54"/>
      <w:lvlText w:val="%1."/>
      <w:lvlJc w:val="left"/>
      <w:pPr>
        <w:tabs>
          <w:tab w:val="left" w:pos="288"/>
        </w:tabs>
        <w:ind w:left="288" w:hanging="288"/>
      </w:pPr>
      <w:rPr>
        <w:rFonts w:hint="default" w:ascii="Times New Roman" w:hAnsi="Times New Roman" w:eastAsia="Arial Unicode MS" w:cs="Times New Roman"/>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1"/>
  </w:num>
  <w:num w:numId="2">
    <w:abstractNumId w:val="5"/>
  </w:num>
  <w:num w:numId="3">
    <w:abstractNumId w:val="2"/>
  </w:num>
  <w:num w:numId="4">
    <w:abstractNumId w:val="4"/>
  </w:num>
  <w:num w:numId="5">
    <w:abstractNumId w:val="3"/>
  </w:num>
  <w:num w:numId="6">
    <w:abstractNumId w:val="6"/>
  </w:num>
  <w:num w:numId="7">
    <w:abstractNumId w:val="7"/>
  </w:num>
  <w:num w:numId="8">
    <w:abstractNumId w:val="0"/>
  </w:num>
  <w:num w:numId="9">
    <w:abstractNumId w:val="5"/>
    <w:lvlOverride w:ilvl="0">
      <w:startOverride w:val="1"/>
    </w:lvlOverride>
  </w:num>
  <w:num w:numId="10">
    <w:abstractNumId w:val="5"/>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evenAndOddHeaders w:val="1"/>
  <w:characterSpacingControl w:val="doNotCompress"/>
  <w:footnotePr>
    <w:numFmt w:val="chicago"/>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A0NzExNjAxtDAwMDZW0lEKTi0uzszPAykwNKoFAE7M1AAtAAAA"/>
  </w:docVars>
  <w:rsids>
    <w:rsidRoot w:val="009431ED"/>
    <w:rsid w:val="000001BB"/>
    <w:rsid w:val="00000A6A"/>
    <w:rsid w:val="00003645"/>
    <w:rsid w:val="00011CC0"/>
    <w:rsid w:val="00012AA4"/>
    <w:rsid w:val="000135D7"/>
    <w:rsid w:val="00016DB5"/>
    <w:rsid w:val="00021807"/>
    <w:rsid w:val="00022725"/>
    <w:rsid w:val="00030518"/>
    <w:rsid w:val="00032AD0"/>
    <w:rsid w:val="000360C4"/>
    <w:rsid w:val="00037D72"/>
    <w:rsid w:val="00040150"/>
    <w:rsid w:val="00057D1C"/>
    <w:rsid w:val="00060B8E"/>
    <w:rsid w:val="000642F3"/>
    <w:rsid w:val="0007439F"/>
    <w:rsid w:val="00074D5D"/>
    <w:rsid w:val="00077D19"/>
    <w:rsid w:val="0008014D"/>
    <w:rsid w:val="00080872"/>
    <w:rsid w:val="000813C4"/>
    <w:rsid w:val="00082AAD"/>
    <w:rsid w:val="00084C56"/>
    <w:rsid w:val="00086E06"/>
    <w:rsid w:val="000924BA"/>
    <w:rsid w:val="0009779B"/>
    <w:rsid w:val="000A2BC0"/>
    <w:rsid w:val="000B70E0"/>
    <w:rsid w:val="000C2A06"/>
    <w:rsid w:val="000C76F1"/>
    <w:rsid w:val="000C7F61"/>
    <w:rsid w:val="000D0E05"/>
    <w:rsid w:val="000D24E5"/>
    <w:rsid w:val="000D27D7"/>
    <w:rsid w:val="000D60B1"/>
    <w:rsid w:val="000E6524"/>
    <w:rsid w:val="000F1C43"/>
    <w:rsid w:val="000F58FF"/>
    <w:rsid w:val="000F5C2B"/>
    <w:rsid w:val="000F7987"/>
    <w:rsid w:val="001024FC"/>
    <w:rsid w:val="00105FEE"/>
    <w:rsid w:val="001073ED"/>
    <w:rsid w:val="001126E4"/>
    <w:rsid w:val="00115C48"/>
    <w:rsid w:val="00125EE9"/>
    <w:rsid w:val="001344DD"/>
    <w:rsid w:val="00137A72"/>
    <w:rsid w:val="00141248"/>
    <w:rsid w:val="00141A15"/>
    <w:rsid w:val="00151393"/>
    <w:rsid w:val="00155B36"/>
    <w:rsid w:val="00156C17"/>
    <w:rsid w:val="00157451"/>
    <w:rsid w:val="001603D8"/>
    <w:rsid w:val="00163B42"/>
    <w:rsid w:val="001677AB"/>
    <w:rsid w:val="001703B3"/>
    <w:rsid w:val="001751CD"/>
    <w:rsid w:val="0018553F"/>
    <w:rsid w:val="00185ADB"/>
    <w:rsid w:val="00187245"/>
    <w:rsid w:val="001A0838"/>
    <w:rsid w:val="001A0E07"/>
    <w:rsid w:val="001B3DAC"/>
    <w:rsid w:val="001C1DE8"/>
    <w:rsid w:val="001C2CB3"/>
    <w:rsid w:val="001C4D92"/>
    <w:rsid w:val="001D50BA"/>
    <w:rsid w:val="001D6C51"/>
    <w:rsid w:val="001E04EE"/>
    <w:rsid w:val="001F14BF"/>
    <w:rsid w:val="001F27C6"/>
    <w:rsid w:val="001F70CD"/>
    <w:rsid w:val="001F72D1"/>
    <w:rsid w:val="001F7907"/>
    <w:rsid w:val="0020093F"/>
    <w:rsid w:val="00202B04"/>
    <w:rsid w:val="002117C3"/>
    <w:rsid w:val="002127CE"/>
    <w:rsid w:val="002171F8"/>
    <w:rsid w:val="002174A5"/>
    <w:rsid w:val="0022083B"/>
    <w:rsid w:val="002222AA"/>
    <w:rsid w:val="00225D60"/>
    <w:rsid w:val="00235716"/>
    <w:rsid w:val="002673DE"/>
    <w:rsid w:val="002748C9"/>
    <w:rsid w:val="00275522"/>
    <w:rsid w:val="0028270D"/>
    <w:rsid w:val="00291BAD"/>
    <w:rsid w:val="0029789D"/>
    <w:rsid w:val="002A014C"/>
    <w:rsid w:val="002A0D31"/>
    <w:rsid w:val="002A60CB"/>
    <w:rsid w:val="002A7B98"/>
    <w:rsid w:val="002C6F5D"/>
    <w:rsid w:val="002D1AB2"/>
    <w:rsid w:val="002D4FBF"/>
    <w:rsid w:val="002D6170"/>
    <w:rsid w:val="002D6291"/>
    <w:rsid w:val="002E0949"/>
    <w:rsid w:val="002E0BC2"/>
    <w:rsid w:val="002E5DA6"/>
    <w:rsid w:val="002E6A93"/>
    <w:rsid w:val="002F2DA5"/>
    <w:rsid w:val="003017BE"/>
    <w:rsid w:val="00307C7F"/>
    <w:rsid w:val="00313E92"/>
    <w:rsid w:val="003147DB"/>
    <w:rsid w:val="0032018A"/>
    <w:rsid w:val="00322DF1"/>
    <w:rsid w:val="00330293"/>
    <w:rsid w:val="00330BB0"/>
    <w:rsid w:val="00334C3C"/>
    <w:rsid w:val="00343816"/>
    <w:rsid w:val="00346E33"/>
    <w:rsid w:val="0034739A"/>
    <w:rsid w:val="00352C1D"/>
    <w:rsid w:val="00355798"/>
    <w:rsid w:val="003666E5"/>
    <w:rsid w:val="00366AD2"/>
    <w:rsid w:val="00366D6F"/>
    <w:rsid w:val="00370DC5"/>
    <w:rsid w:val="00374471"/>
    <w:rsid w:val="00375A56"/>
    <w:rsid w:val="00376B97"/>
    <w:rsid w:val="00380676"/>
    <w:rsid w:val="0039100C"/>
    <w:rsid w:val="00391CF2"/>
    <w:rsid w:val="00394542"/>
    <w:rsid w:val="00396BCF"/>
    <w:rsid w:val="003A03E0"/>
    <w:rsid w:val="003A1E8D"/>
    <w:rsid w:val="003A4D19"/>
    <w:rsid w:val="003A4D5D"/>
    <w:rsid w:val="003A7F3A"/>
    <w:rsid w:val="003B47A6"/>
    <w:rsid w:val="003B4A29"/>
    <w:rsid w:val="003B7792"/>
    <w:rsid w:val="003C1377"/>
    <w:rsid w:val="003C47D8"/>
    <w:rsid w:val="003E2585"/>
    <w:rsid w:val="003E395D"/>
    <w:rsid w:val="003F16C3"/>
    <w:rsid w:val="003F186B"/>
    <w:rsid w:val="003F1A61"/>
    <w:rsid w:val="003F7BCA"/>
    <w:rsid w:val="00400DC6"/>
    <w:rsid w:val="0040318F"/>
    <w:rsid w:val="0040754A"/>
    <w:rsid w:val="00407976"/>
    <w:rsid w:val="004121ED"/>
    <w:rsid w:val="0043116B"/>
    <w:rsid w:val="0044046D"/>
    <w:rsid w:val="004407B4"/>
    <w:rsid w:val="00440FAA"/>
    <w:rsid w:val="0044227D"/>
    <w:rsid w:val="00450ABF"/>
    <w:rsid w:val="00451A98"/>
    <w:rsid w:val="00452AE5"/>
    <w:rsid w:val="0045306B"/>
    <w:rsid w:val="0046174B"/>
    <w:rsid w:val="00473AC1"/>
    <w:rsid w:val="004754ED"/>
    <w:rsid w:val="0047792D"/>
    <w:rsid w:val="0048450F"/>
    <w:rsid w:val="0048509F"/>
    <w:rsid w:val="00485928"/>
    <w:rsid w:val="004912A3"/>
    <w:rsid w:val="00492F46"/>
    <w:rsid w:val="00493D75"/>
    <w:rsid w:val="004942A6"/>
    <w:rsid w:val="00496E51"/>
    <w:rsid w:val="004A4D13"/>
    <w:rsid w:val="004A501F"/>
    <w:rsid w:val="004A5FD6"/>
    <w:rsid w:val="004A6207"/>
    <w:rsid w:val="004B13CB"/>
    <w:rsid w:val="004B5B12"/>
    <w:rsid w:val="004C4683"/>
    <w:rsid w:val="004E7253"/>
    <w:rsid w:val="004E7D10"/>
    <w:rsid w:val="004F2B1B"/>
    <w:rsid w:val="00501F90"/>
    <w:rsid w:val="00502F1E"/>
    <w:rsid w:val="00506F79"/>
    <w:rsid w:val="005109C5"/>
    <w:rsid w:val="005114B8"/>
    <w:rsid w:val="005163AB"/>
    <w:rsid w:val="00525263"/>
    <w:rsid w:val="00526D19"/>
    <w:rsid w:val="0052700D"/>
    <w:rsid w:val="00536593"/>
    <w:rsid w:val="00536C93"/>
    <w:rsid w:val="00541A73"/>
    <w:rsid w:val="00543332"/>
    <w:rsid w:val="00546127"/>
    <w:rsid w:val="005556CE"/>
    <w:rsid w:val="0055785B"/>
    <w:rsid w:val="00565664"/>
    <w:rsid w:val="005678B4"/>
    <w:rsid w:val="00567BC2"/>
    <w:rsid w:val="00571024"/>
    <w:rsid w:val="005732B6"/>
    <w:rsid w:val="00576F8D"/>
    <w:rsid w:val="005803CA"/>
    <w:rsid w:val="0059379B"/>
    <w:rsid w:val="00593CE3"/>
    <w:rsid w:val="005A268C"/>
    <w:rsid w:val="005A3B71"/>
    <w:rsid w:val="005A5B1D"/>
    <w:rsid w:val="005B12BE"/>
    <w:rsid w:val="005B182C"/>
    <w:rsid w:val="005B2302"/>
    <w:rsid w:val="005B3334"/>
    <w:rsid w:val="005C127B"/>
    <w:rsid w:val="005C608B"/>
    <w:rsid w:val="005E24F0"/>
    <w:rsid w:val="005E349E"/>
    <w:rsid w:val="005F158E"/>
    <w:rsid w:val="005F1834"/>
    <w:rsid w:val="005F24BF"/>
    <w:rsid w:val="005F3557"/>
    <w:rsid w:val="005F6B8B"/>
    <w:rsid w:val="005F6C7A"/>
    <w:rsid w:val="005F7D3A"/>
    <w:rsid w:val="00601636"/>
    <w:rsid w:val="00610FEA"/>
    <w:rsid w:val="00622E9B"/>
    <w:rsid w:val="006248A5"/>
    <w:rsid w:val="00635DEA"/>
    <w:rsid w:val="00643F6E"/>
    <w:rsid w:val="006444E6"/>
    <w:rsid w:val="0064667D"/>
    <w:rsid w:val="00650960"/>
    <w:rsid w:val="00652376"/>
    <w:rsid w:val="006525C2"/>
    <w:rsid w:val="00653CC4"/>
    <w:rsid w:val="006546A8"/>
    <w:rsid w:val="00654BCB"/>
    <w:rsid w:val="006577DD"/>
    <w:rsid w:val="00665088"/>
    <w:rsid w:val="00672AD8"/>
    <w:rsid w:val="00675DD9"/>
    <w:rsid w:val="0068196A"/>
    <w:rsid w:val="00683155"/>
    <w:rsid w:val="00683485"/>
    <w:rsid w:val="00684A2F"/>
    <w:rsid w:val="00686A96"/>
    <w:rsid w:val="006874AC"/>
    <w:rsid w:val="0069243F"/>
    <w:rsid w:val="006928D8"/>
    <w:rsid w:val="00693E6A"/>
    <w:rsid w:val="006A26AF"/>
    <w:rsid w:val="006A3464"/>
    <w:rsid w:val="006A6643"/>
    <w:rsid w:val="006B42FD"/>
    <w:rsid w:val="006C08C1"/>
    <w:rsid w:val="006C0B3A"/>
    <w:rsid w:val="006C4EB1"/>
    <w:rsid w:val="006D504B"/>
    <w:rsid w:val="006D73B7"/>
    <w:rsid w:val="006E00ED"/>
    <w:rsid w:val="006E0469"/>
    <w:rsid w:val="006E2689"/>
    <w:rsid w:val="006F0782"/>
    <w:rsid w:val="006F104D"/>
    <w:rsid w:val="006F237D"/>
    <w:rsid w:val="006F3F9B"/>
    <w:rsid w:val="006F55B9"/>
    <w:rsid w:val="00705BA4"/>
    <w:rsid w:val="007069CD"/>
    <w:rsid w:val="00711764"/>
    <w:rsid w:val="007207CD"/>
    <w:rsid w:val="00721BEF"/>
    <w:rsid w:val="00730285"/>
    <w:rsid w:val="00730322"/>
    <w:rsid w:val="007331B8"/>
    <w:rsid w:val="00737A6A"/>
    <w:rsid w:val="007439BC"/>
    <w:rsid w:val="00743ACD"/>
    <w:rsid w:val="00745FC1"/>
    <w:rsid w:val="007468AC"/>
    <w:rsid w:val="00750D83"/>
    <w:rsid w:val="007564CC"/>
    <w:rsid w:val="007726CB"/>
    <w:rsid w:val="00774EFA"/>
    <w:rsid w:val="00780D50"/>
    <w:rsid w:val="007853EA"/>
    <w:rsid w:val="007869FA"/>
    <w:rsid w:val="007915C6"/>
    <w:rsid w:val="00793CEE"/>
    <w:rsid w:val="007A17B1"/>
    <w:rsid w:val="007A7253"/>
    <w:rsid w:val="007B1892"/>
    <w:rsid w:val="007B5E46"/>
    <w:rsid w:val="007B78B9"/>
    <w:rsid w:val="007C07F6"/>
    <w:rsid w:val="007C1DF9"/>
    <w:rsid w:val="007C588D"/>
    <w:rsid w:val="007D0DED"/>
    <w:rsid w:val="007E02A6"/>
    <w:rsid w:val="007E4557"/>
    <w:rsid w:val="007F1A51"/>
    <w:rsid w:val="007F1C9A"/>
    <w:rsid w:val="007F1FA9"/>
    <w:rsid w:val="007F79DF"/>
    <w:rsid w:val="007F7CD1"/>
    <w:rsid w:val="00805B4B"/>
    <w:rsid w:val="0081126A"/>
    <w:rsid w:val="0082003D"/>
    <w:rsid w:val="00826F74"/>
    <w:rsid w:val="00831456"/>
    <w:rsid w:val="0083351D"/>
    <w:rsid w:val="00837C09"/>
    <w:rsid w:val="00842975"/>
    <w:rsid w:val="0084367B"/>
    <w:rsid w:val="00843E83"/>
    <w:rsid w:val="008534FC"/>
    <w:rsid w:val="00854C08"/>
    <w:rsid w:val="008663B7"/>
    <w:rsid w:val="008754AD"/>
    <w:rsid w:val="008759DB"/>
    <w:rsid w:val="00876A8C"/>
    <w:rsid w:val="00880964"/>
    <w:rsid w:val="008825BC"/>
    <w:rsid w:val="00887A40"/>
    <w:rsid w:val="0089178B"/>
    <w:rsid w:val="00897F8B"/>
    <w:rsid w:val="008A0554"/>
    <w:rsid w:val="008A1FAC"/>
    <w:rsid w:val="008A293D"/>
    <w:rsid w:val="008A53C1"/>
    <w:rsid w:val="008A5628"/>
    <w:rsid w:val="008B2680"/>
    <w:rsid w:val="008B2FC3"/>
    <w:rsid w:val="008B366E"/>
    <w:rsid w:val="008B5694"/>
    <w:rsid w:val="008C2842"/>
    <w:rsid w:val="008C5AD7"/>
    <w:rsid w:val="008C7A28"/>
    <w:rsid w:val="008D0643"/>
    <w:rsid w:val="008D35E5"/>
    <w:rsid w:val="008D5347"/>
    <w:rsid w:val="008E6CDC"/>
    <w:rsid w:val="008E75EB"/>
    <w:rsid w:val="008F5FEF"/>
    <w:rsid w:val="009025EB"/>
    <w:rsid w:val="00902C30"/>
    <w:rsid w:val="00905423"/>
    <w:rsid w:val="00920101"/>
    <w:rsid w:val="009227C0"/>
    <w:rsid w:val="0092767F"/>
    <w:rsid w:val="00931338"/>
    <w:rsid w:val="00932055"/>
    <w:rsid w:val="00933CAD"/>
    <w:rsid w:val="0094260D"/>
    <w:rsid w:val="009431ED"/>
    <w:rsid w:val="00950A18"/>
    <w:rsid w:val="00952862"/>
    <w:rsid w:val="00957442"/>
    <w:rsid w:val="00962B06"/>
    <w:rsid w:val="0096438B"/>
    <w:rsid w:val="0097047E"/>
    <w:rsid w:val="0097235E"/>
    <w:rsid w:val="00973249"/>
    <w:rsid w:val="009741C2"/>
    <w:rsid w:val="00983527"/>
    <w:rsid w:val="00984921"/>
    <w:rsid w:val="0098607C"/>
    <w:rsid w:val="00987007"/>
    <w:rsid w:val="009917E7"/>
    <w:rsid w:val="00991E9F"/>
    <w:rsid w:val="00993390"/>
    <w:rsid w:val="009949CD"/>
    <w:rsid w:val="009A0DBF"/>
    <w:rsid w:val="009B0B8D"/>
    <w:rsid w:val="009C1A47"/>
    <w:rsid w:val="009C3E14"/>
    <w:rsid w:val="009C6529"/>
    <w:rsid w:val="009D26A4"/>
    <w:rsid w:val="009D3462"/>
    <w:rsid w:val="009E0240"/>
    <w:rsid w:val="009E1234"/>
    <w:rsid w:val="009E25CC"/>
    <w:rsid w:val="009F128B"/>
    <w:rsid w:val="009F539D"/>
    <w:rsid w:val="00A07351"/>
    <w:rsid w:val="00A07991"/>
    <w:rsid w:val="00A17D04"/>
    <w:rsid w:val="00A17FCC"/>
    <w:rsid w:val="00A20B1D"/>
    <w:rsid w:val="00A23761"/>
    <w:rsid w:val="00A307D3"/>
    <w:rsid w:val="00A31C5B"/>
    <w:rsid w:val="00A37DE7"/>
    <w:rsid w:val="00A44473"/>
    <w:rsid w:val="00A5781E"/>
    <w:rsid w:val="00A57BBF"/>
    <w:rsid w:val="00A61EA0"/>
    <w:rsid w:val="00A67D95"/>
    <w:rsid w:val="00A72F6F"/>
    <w:rsid w:val="00A8278A"/>
    <w:rsid w:val="00A90C25"/>
    <w:rsid w:val="00A90C7C"/>
    <w:rsid w:val="00A94D7C"/>
    <w:rsid w:val="00A97E79"/>
    <w:rsid w:val="00A97F76"/>
    <w:rsid w:val="00AA1CF2"/>
    <w:rsid w:val="00AA676A"/>
    <w:rsid w:val="00AA6E86"/>
    <w:rsid w:val="00AB0BA4"/>
    <w:rsid w:val="00AB181D"/>
    <w:rsid w:val="00AB3165"/>
    <w:rsid w:val="00AB4C9F"/>
    <w:rsid w:val="00AC0EE1"/>
    <w:rsid w:val="00AC49AA"/>
    <w:rsid w:val="00AC6EA6"/>
    <w:rsid w:val="00AD0E8D"/>
    <w:rsid w:val="00AD3500"/>
    <w:rsid w:val="00AD3D48"/>
    <w:rsid w:val="00AD4D27"/>
    <w:rsid w:val="00AD5D55"/>
    <w:rsid w:val="00AD787E"/>
    <w:rsid w:val="00AE1028"/>
    <w:rsid w:val="00AE340C"/>
    <w:rsid w:val="00AE6D81"/>
    <w:rsid w:val="00B0167D"/>
    <w:rsid w:val="00B040CD"/>
    <w:rsid w:val="00B05C63"/>
    <w:rsid w:val="00B065D4"/>
    <w:rsid w:val="00B20715"/>
    <w:rsid w:val="00B25C74"/>
    <w:rsid w:val="00B265A3"/>
    <w:rsid w:val="00B35EE7"/>
    <w:rsid w:val="00B37472"/>
    <w:rsid w:val="00B41CA8"/>
    <w:rsid w:val="00B450FB"/>
    <w:rsid w:val="00B47E65"/>
    <w:rsid w:val="00B52308"/>
    <w:rsid w:val="00B52C0B"/>
    <w:rsid w:val="00B53B14"/>
    <w:rsid w:val="00B57D2F"/>
    <w:rsid w:val="00B60A71"/>
    <w:rsid w:val="00B61F0C"/>
    <w:rsid w:val="00B62E9A"/>
    <w:rsid w:val="00B71C81"/>
    <w:rsid w:val="00B76F1D"/>
    <w:rsid w:val="00B850F5"/>
    <w:rsid w:val="00B8637B"/>
    <w:rsid w:val="00BA1E4E"/>
    <w:rsid w:val="00BB0A41"/>
    <w:rsid w:val="00BC15DF"/>
    <w:rsid w:val="00BC2600"/>
    <w:rsid w:val="00BC4B2C"/>
    <w:rsid w:val="00BC50AF"/>
    <w:rsid w:val="00BC7BFD"/>
    <w:rsid w:val="00BD2957"/>
    <w:rsid w:val="00BD36B4"/>
    <w:rsid w:val="00BD51C7"/>
    <w:rsid w:val="00BD5DE9"/>
    <w:rsid w:val="00BD621A"/>
    <w:rsid w:val="00BD6397"/>
    <w:rsid w:val="00BE2359"/>
    <w:rsid w:val="00BE6D4E"/>
    <w:rsid w:val="00BF5491"/>
    <w:rsid w:val="00BF5825"/>
    <w:rsid w:val="00BF6B2B"/>
    <w:rsid w:val="00C01331"/>
    <w:rsid w:val="00C10D8B"/>
    <w:rsid w:val="00C10D99"/>
    <w:rsid w:val="00C110A6"/>
    <w:rsid w:val="00C14911"/>
    <w:rsid w:val="00C266B5"/>
    <w:rsid w:val="00C33E76"/>
    <w:rsid w:val="00C34779"/>
    <w:rsid w:val="00C35661"/>
    <w:rsid w:val="00C3656F"/>
    <w:rsid w:val="00C43A35"/>
    <w:rsid w:val="00C4464B"/>
    <w:rsid w:val="00C45601"/>
    <w:rsid w:val="00C4606F"/>
    <w:rsid w:val="00C512E1"/>
    <w:rsid w:val="00C5554E"/>
    <w:rsid w:val="00C62732"/>
    <w:rsid w:val="00C67626"/>
    <w:rsid w:val="00C74FFE"/>
    <w:rsid w:val="00C75E53"/>
    <w:rsid w:val="00C80BAE"/>
    <w:rsid w:val="00C8295C"/>
    <w:rsid w:val="00C87C53"/>
    <w:rsid w:val="00C9292B"/>
    <w:rsid w:val="00CA05CD"/>
    <w:rsid w:val="00CA476D"/>
    <w:rsid w:val="00CB2A86"/>
    <w:rsid w:val="00CB450A"/>
    <w:rsid w:val="00CB48FB"/>
    <w:rsid w:val="00CB537B"/>
    <w:rsid w:val="00CB58DB"/>
    <w:rsid w:val="00CC5B0C"/>
    <w:rsid w:val="00CC60DD"/>
    <w:rsid w:val="00CC6793"/>
    <w:rsid w:val="00CC68DE"/>
    <w:rsid w:val="00CC7905"/>
    <w:rsid w:val="00CD0026"/>
    <w:rsid w:val="00CD2110"/>
    <w:rsid w:val="00CE13B2"/>
    <w:rsid w:val="00CE3E26"/>
    <w:rsid w:val="00CE408B"/>
    <w:rsid w:val="00CF3A56"/>
    <w:rsid w:val="00D006DB"/>
    <w:rsid w:val="00D02F4C"/>
    <w:rsid w:val="00D06CD1"/>
    <w:rsid w:val="00D108F8"/>
    <w:rsid w:val="00D10EC4"/>
    <w:rsid w:val="00D12AF1"/>
    <w:rsid w:val="00D22C7B"/>
    <w:rsid w:val="00D26ED4"/>
    <w:rsid w:val="00D2781F"/>
    <w:rsid w:val="00D34E8E"/>
    <w:rsid w:val="00D45701"/>
    <w:rsid w:val="00D46938"/>
    <w:rsid w:val="00D541E0"/>
    <w:rsid w:val="00D63272"/>
    <w:rsid w:val="00D65284"/>
    <w:rsid w:val="00D84A37"/>
    <w:rsid w:val="00D94AB4"/>
    <w:rsid w:val="00D96061"/>
    <w:rsid w:val="00DA3679"/>
    <w:rsid w:val="00DB027D"/>
    <w:rsid w:val="00DB0F78"/>
    <w:rsid w:val="00DB1B3B"/>
    <w:rsid w:val="00DB2F9B"/>
    <w:rsid w:val="00DB414C"/>
    <w:rsid w:val="00DC7DC2"/>
    <w:rsid w:val="00DD07A7"/>
    <w:rsid w:val="00DD361A"/>
    <w:rsid w:val="00DD4C31"/>
    <w:rsid w:val="00DD7238"/>
    <w:rsid w:val="00DE0490"/>
    <w:rsid w:val="00DE13DE"/>
    <w:rsid w:val="00DF058F"/>
    <w:rsid w:val="00DF2045"/>
    <w:rsid w:val="00DF3EDF"/>
    <w:rsid w:val="00E026BD"/>
    <w:rsid w:val="00E0303F"/>
    <w:rsid w:val="00E13F34"/>
    <w:rsid w:val="00E21065"/>
    <w:rsid w:val="00E21FA8"/>
    <w:rsid w:val="00E25201"/>
    <w:rsid w:val="00E25458"/>
    <w:rsid w:val="00E27A0D"/>
    <w:rsid w:val="00E31E73"/>
    <w:rsid w:val="00E41B2C"/>
    <w:rsid w:val="00E43C96"/>
    <w:rsid w:val="00E44523"/>
    <w:rsid w:val="00E45A8E"/>
    <w:rsid w:val="00E46A44"/>
    <w:rsid w:val="00E541E6"/>
    <w:rsid w:val="00E55100"/>
    <w:rsid w:val="00E60B1D"/>
    <w:rsid w:val="00E66B23"/>
    <w:rsid w:val="00E76F98"/>
    <w:rsid w:val="00E81CB8"/>
    <w:rsid w:val="00E8431E"/>
    <w:rsid w:val="00E84A45"/>
    <w:rsid w:val="00E912EA"/>
    <w:rsid w:val="00E921CA"/>
    <w:rsid w:val="00E922A9"/>
    <w:rsid w:val="00EA1310"/>
    <w:rsid w:val="00EA1616"/>
    <w:rsid w:val="00EA60AD"/>
    <w:rsid w:val="00EA6C41"/>
    <w:rsid w:val="00EB3799"/>
    <w:rsid w:val="00EB37C8"/>
    <w:rsid w:val="00EC2494"/>
    <w:rsid w:val="00EE1B30"/>
    <w:rsid w:val="00EE6427"/>
    <w:rsid w:val="00EF400F"/>
    <w:rsid w:val="00F158D6"/>
    <w:rsid w:val="00F24033"/>
    <w:rsid w:val="00F25237"/>
    <w:rsid w:val="00F27AEB"/>
    <w:rsid w:val="00F3137C"/>
    <w:rsid w:val="00F3334E"/>
    <w:rsid w:val="00F33B4A"/>
    <w:rsid w:val="00F34FF3"/>
    <w:rsid w:val="00F35AC6"/>
    <w:rsid w:val="00F361FF"/>
    <w:rsid w:val="00F4017B"/>
    <w:rsid w:val="00F467BF"/>
    <w:rsid w:val="00F47BFE"/>
    <w:rsid w:val="00F514DA"/>
    <w:rsid w:val="00F546BE"/>
    <w:rsid w:val="00F573EA"/>
    <w:rsid w:val="00F668E4"/>
    <w:rsid w:val="00F70050"/>
    <w:rsid w:val="00F71D4A"/>
    <w:rsid w:val="00F752FF"/>
    <w:rsid w:val="00F76FC6"/>
    <w:rsid w:val="00F801D2"/>
    <w:rsid w:val="00F801ED"/>
    <w:rsid w:val="00F81467"/>
    <w:rsid w:val="00F905C6"/>
    <w:rsid w:val="00F907C3"/>
    <w:rsid w:val="00F96A4F"/>
    <w:rsid w:val="00F96F3E"/>
    <w:rsid w:val="00F97814"/>
    <w:rsid w:val="00FA4E58"/>
    <w:rsid w:val="00FA6A48"/>
    <w:rsid w:val="00FB5205"/>
    <w:rsid w:val="00FB72B2"/>
    <w:rsid w:val="00FC3AF1"/>
    <w:rsid w:val="00FC76C8"/>
    <w:rsid w:val="00FD20A5"/>
    <w:rsid w:val="00FD31DF"/>
    <w:rsid w:val="00FE01E6"/>
    <w:rsid w:val="00FE347A"/>
    <w:rsid w:val="00FE4F43"/>
    <w:rsid w:val="00FE752E"/>
    <w:rsid w:val="00FF2259"/>
    <w:rsid w:val="05651D6B"/>
    <w:rsid w:val="064F6575"/>
    <w:rsid w:val="09D86817"/>
    <w:rsid w:val="15CB6F9C"/>
    <w:rsid w:val="1FBE610A"/>
    <w:rsid w:val="214F21EB"/>
    <w:rsid w:val="23E57E56"/>
    <w:rsid w:val="28450C2F"/>
    <w:rsid w:val="2F424F98"/>
    <w:rsid w:val="30CE5415"/>
    <w:rsid w:val="3B0C59EE"/>
    <w:rsid w:val="3B3B1113"/>
    <w:rsid w:val="3ED9222C"/>
    <w:rsid w:val="41F45941"/>
    <w:rsid w:val="48B224D2"/>
    <w:rsid w:val="5246525C"/>
    <w:rsid w:val="54134879"/>
    <w:rsid w:val="55DB79EC"/>
    <w:rsid w:val="5B2B3222"/>
    <w:rsid w:val="6A6362C3"/>
    <w:rsid w:val="6AFE6DF4"/>
    <w:rsid w:val="70C2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57"/>
      <w:jc w:val="both"/>
    </w:pPr>
    <w:rPr>
      <w:rFonts w:ascii="Times New Roman" w:hAnsi="Times New Roman" w:eastAsia="Times New Roman" w:cs="Times New Roman"/>
      <w:lang w:val="id-ID" w:eastAsia="en-US" w:bidi="ar-SA"/>
    </w:rPr>
  </w:style>
  <w:style w:type="paragraph" w:styleId="2">
    <w:name w:val="heading 1"/>
    <w:basedOn w:val="1"/>
    <w:next w:val="1"/>
    <w:link w:val="21"/>
    <w:qFormat/>
    <w:uiPriority w:val="9"/>
    <w:pPr>
      <w:keepNext/>
      <w:numPr>
        <w:ilvl w:val="0"/>
        <w:numId w:val="1"/>
      </w:numPr>
      <w:spacing w:before="180" w:after="60"/>
      <w:jc w:val="center"/>
      <w:outlineLvl w:val="0"/>
    </w:pPr>
    <w:rPr>
      <w:b/>
      <w:bCs/>
      <w:smallCaps/>
      <w:kern w:val="32"/>
      <w:lang w:eastAsia="zh-CN"/>
    </w:rPr>
  </w:style>
  <w:style w:type="paragraph" w:styleId="3">
    <w:name w:val="heading 2"/>
    <w:basedOn w:val="1"/>
    <w:next w:val="1"/>
    <w:link w:val="40"/>
    <w:unhideWhenUsed/>
    <w:qFormat/>
    <w:uiPriority w:val="9"/>
    <w:pPr>
      <w:keepNext/>
      <w:keepLines/>
      <w:numPr>
        <w:ilvl w:val="0"/>
        <w:numId w:val="2"/>
      </w:numPr>
      <w:spacing w:before="150" w:after="60"/>
      <w:jc w:val="left"/>
      <w:outlineLvl w:val="1"/>
    </w:pPr>
    <w:rPr>
      <w:b/>
      <w:bCs/>
      <w:color w:val="000000"/>
      <w:lang w:eastAsia="zh-CN"/>
    </w:rPr>
  </w:style>
  <w:style w:type="paragraph" w:styleId="4">
    <w:name w:val="heading 3"/>
    <w:basedOn w:val="1"/>
    <w:next w:val="1"/>
    <w:link w:val="46"/>
    <w:unhideWhenUsed/>
    <w:qFormat/>
    <w:uiPriority w:val="9"/>
    <w:pPr>
      <w:keepNext/>
      <w:numPr>
        <w:ilvl w:val="0"/>
        <w:numId w:val="3"/>
      </w:numPr>
      <w:spacing w:before="120" w:after="60"/>
      <w:outlineLvl w:val="2"/>
    </w:pPr>
    <w:rPr>
      <w:bCs/>
      <w:i/>
      <w:lang w:eastAsia="zh-CN"/>
    </w:rPr>
  </w:style>
  <w:style w:type="paragraph" w:styleId="5">
    <w:name w:val="heading 4"/>
    <w:basedOn w:val="6"/>
    <w:next w:val="1"/>
    <w:link w:val="48"/>
    <w:unhideWhenUsed/>
    <w:qFormat/>
    <w:uiPriority w:val="9"/>
    <w:pPr>
      <w:numPr>
        <w:ilvl w:val="0"/>
        <w:numId w:val="4"/>
      </w:numPr>
      <w:spacing w:before="120" w:after="60"/>
      <w:ind w:left="714" w:hanging="357"/>
      <w:outlineLvl w:val="3"/>
    </w:pPr>
    <w:rPr>
      <w:i/>
      <w:lang w:eastAsia="zh-CN"/>
    </w:rPr>
  </w:style>
  <w:style w:type="character" w:default="1" w:styleId="7">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6">
    <w:name w:val="List Paragraph"/>
    <w:basedOn w:val="1"/>
    <w:qFormat/>
    <w:uiPriority w:val="34"/>
    <w:pPr>
      <w:ind w:firstLine="0"/>
      <w:contextualSpacing/>
    </w:pPr>
    <w:rPr>
      <w:rFonts w:eastAsia="Calibri"/>
      <w:lang w:val="en-AU"/>
    </w:rPr>
  </w:style>
  <w:style w:type="paragraph" w:styleId="9">
    <w:name w:val="Balloon Text"/>
    <w:basedOn w:val="1"/>
    <w:link w:val="39"/>
    <w:semiHidden/>
    <w:unhideWhenUsed/>
    <w:qFormat/>
    <w:uiPriority w:val="99"/>
    <w:rPr>
      <w:rFonts w:ascii="Tahoma" w:hAnsi="Tahoma"/>
      <w:sz w:val="16"/>
      <w:szCs w:val="16"/>
      <w:lang w:eastAsia="zh-CN"/>
    </w:rPr>
  </w:style>
  <w:style w:type="paragraph" w:styleId="10">
    <w:name w:val="Body Text Indent"/>
    <w:basedOn w:val="1"/>
    <w:link w:val="60"/>
    <w:uiPriority w:val="0"/>
    <w:pPr>
      <w:spacing w:line="360" w:lineRule="auto"/>
      <w:ind w:left="720" w:firstLine="0"/>
    </w:pPr>
    <w:rPr>
      <w:sz w:val="24"/>
      <w:szCs w:val="24"/>
      <w:lang w:val="en-GB" w:eastAsia="zh-CN"/>
    </w:rPr>
  </w:style>
  <w:style w:type="character" w:styleId="11">
    <w:name w:val="Emphasis"/>
    <w:qFormat/>
    <w:uiPriority w:val="20"/>
    <w:rPr>
      <w:i/>
      <w:iCs/>
    </w:rPr>
  </w:style>
  <w:style w:type="character" w:styleId="12">
    <w:name w:val="FollowedHyperlink"/>
    <w:basedOn w:val="7"/>
    <w:semiHidden/>
    <w:unhideWhenUsed/>
    <w:qFormat/>
    <w:uiPriority w:val="99"/>
    <w:rPr>
      <w:color w:val="800080" w:themeColor="followedHyperlink"/>
      <w:u w:val="single"/>
      <w14:textFill>
        <w14:solidFill>
          <w14:schemeClr w14:val="folHlink"/>
        </w14:solidFill>
      </w14:textFill>
    </w:rPr>
  </w:style>
  <w:style w:type="paragraph" w:styleId="13">
    <w:name w:val="footer"/>
    <w:basedOn w:val="1"/>
    <w:link w:val="33"/>
    <w:unhideWhenUsed/>
    <w:qFormat/>
    <w:uiPriority w:val="99"/>
    <w:pPr>
      <w:tabs>
        <w:tab w:val="center" w:pos="4680"/>
        <w:tab w:val="right" w:pos="9360"/>
      </w:tabs>
    </w:pPr>
    <w:rPr>
      <w:lang w:eastAsia="zh-CN"/>
    </w:rPr>
  </w:style>
  <w:style w:type="character" w:styleId="14">
    <w:name w:val="footnote reference"/>
    <w:semiHidden/>
    <w:unhideWhenUsed/>
    <w:qFormat/>
    <w:uiPriority w:val="99"/>
    <w:rPr>
      <w:vertAlign w:val="superscript"/>
    </w:rPr>
  </w:style>
  <w:style w:type="paragraph" w:styleId="15">
    <w:name w:val="footnote text"/>
    <w:basedOn w:val="1"/>
    <w:link w:val="59"/>
    <w:semiHidden/>
    <w:unhideWhenUsed/>
    <w:qFormat/>
    <w:uiPriority w:val="99"/>
    <w:rPr>
      <w:lang w:eastAsia="zh-CN"/>
    </w:rPr>
  </w:style>
  <w:style w:type="paragraph" w:styleId="16">
    <w:name w:val="header"/>
    <w:basedOn w:val="1"/>
    <w:link w:val="32"/>
    <w:unhideWhenUsed/>
    <w:qFormat/>
    <w:uiPriority w:val="99"/>
    <w:pPr>
      <w:tabs>
        <w:tab w:val="center" w:pos="4680"/>
        <w:tab w:val="right" w:pos="9360"/>
      </w:tabs>
    </w:pPr>
    <w:rPr>
      <w:lang w:eastAsia="zh-CN"/>
    </w:rPr>
  </w:style>
  <w:style w:type="character" w:styleId="17">
    <w:name w:val="Hyperlink"/>
    <w:unhideWhenUsed/>
    <w:qFormat/>
    <w:uiPriority w:val="99"/>
    <w:rPr>
      <w:color w:val="0000FF"/>
      <w:u w:val="single"/>
    </w:rPr>
  </w:style>
  <w:style w:type="paragraph" w:styleId="18">
    <w:name w:val="Subtitle"/>
    <w:basedOn w:val="1"/>
    <w:next w:val="1"/>
    <w:link w:val="69"/>
    <w:qFormat/>
    <w:uiPriority w:val="11"/>
    <w:pPr>
      <w:ind w:firstLine="357"/>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1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link w:val="36"/>
    <w:qFormat/>
    <w:uiPriority w:val="10"/>
    <w:pPr>
      <w:spacing w:after="120"/>
      <w:ind w:firstLine="0"/>
      <w:jc w:val="center"/>
    </w:pPr>
    <w:rPr>
      <w:b/>
      <w:bCs/>
      <w:kern w:val="28"/>
      <w:sz w:val="36"/>
      <w:szCs w:val="36"/>
      <w:lang w:eastAsia="zh-CN"/>
    </w:rPr>
  </w:style>
  <w:style w:type="character" w:customStyle="1" w:styleId="21">
    <w:name w:val="Heading 1 Char"/>
    <w:link w:val="2"/>
    <w:qFormat/>
    <w:uiPriority w:val="9"/>
    <w:rPr>
      <w:rFonts w:ascii="Times New Roman" w:hAnsi="Times New Roman" w:eastAsia="Times New Roman"/>
      <w:b/>
      <w:bCs/>
      <w:smallCaps/>
      <w:kern w:val="32"/>
      <w:lang w:val="id-ID" w:eastAsia="zh-CN"/>
    </w:rPr>
  </w:style>
  <w:style w:type="paragraph" w:customStyle="1" w:styleId="22">
    <w:name w:val="icsm_bodytext"/>
    <w:basedOn w:val="1"/>
    <w:qFormat/>
    <w:uiPriority w:val="0"/>
    <w:pPr>
      <w:ind w:firstLine="240"/>
    </w:pPr>
  </w:style>
  <w:style w:type="paragraph" w:customStyle="1" w:styleId="23">
    <w:name w:val="icsm_heading1"/>
    <w:basedOn w:val="1"/>
    <w:qFormat/>
    <w:uiPriority w:val="0"/>
    <w:pPr>
      <w:numPr>
        <w:ilvl w:val="0"/>
        <w:numId w:val="5"/>
      </w:numPr>
      <w:spacing w:after="120"/>
      <w:ind w:left="357" w:hanging="357"/>
      <w:outlineLvl w:val="0"/>
    </w:pPr>
    <w:rPr>
      <w:b/>
    </w:rPr>
  </w:style>
  <w:style w:type="paragraph" w:customStyle="1" w:styleId="24">
    <w:name w:val="icsm_heading2"/>
    <w:basedOn w:val="1"/>
    <w:qFormat/>
    <w:uiPriority w:val="0"/>
    <w:pPr>
      <w:numPr>
        <w:ilvl w:val="0"/>
        <w:numId w:val="6"/>
      </w:numPr>
      <w:spacing w:before="120" w:after="120"/>
      <w:ind w:left="357" w:hanging="357"/>
      <w:jc w:val="left"/>
    </w:pPr>
    <w:rPr>
      <w:b/>
    </w:rPr>
  </w:style>
  <w:style w:type="paragraph" w:customStyle="1" w:styleId="25">
    <w:name w:val="icsm_tabletext"/>
    <w:basedOn w:val="22"/>
    <w:qFormat/>
    <w:uiPriority w:val="0"/>
    <w:pPr>
      <w:spacing w:before="40"/>
      <w:ind w:firstLine="0"/>
      <w:jc w:val="left"/>
    </w:pPr>
    <w:rPr>
      <w:sz w:val="16"/>
    </w:rPr>
  </w:style>
  <w:style w:type="paragraph" w:customStyle="1" w:styleId="26">
    <w:name w:val="icsm_figurecaption"/>
    <w:basedOn w:val="1"/>
    <w:qFormat/>
    <w:uiPriority w:val="0"/>
    <w:pPr>
      <w:spacing w:before="200" w:after="240"/>
      <w:jc w:val="center"/>
    </w:pPr>
    <w:rPr>
      <w:sz w:val="16"/>
    </w:rPr>
  </w:style>
  <w:style w:type="paragraph" w:customStyle="1" w:styleId="27">
    <w:name w:val="icsm_addresses"/>
    <w:basedOn w:val="1"/>
    <w:link w:val="44"/>
    <w:qFormat/>
    <w:uiPriority w:val="0"/>
    <w:pPr>
      <w:spacing w:after="120"/>
      <w:jc w:val="center"/>
    </w:pPr>
    <w:rPr>
      <w:i/>
      <w:sz w:val="16"/>
      <w:lang w:eastAsia="zh-CN"/>
    </w:rPr>
  </w:style>
  <w:style w:type="paragraph" w:customStyle="1" w:styleId="28">
    <w:name w:val="icsm_keywords"/>
    <w:basedOn w:val="1"/>
    <w:qFormat/>
    <w:uiPriority w:val="0"/>
    <w:rPr>
      <w:sz w:val="16"/>
    </w:rPr>
  </w:style>
  <w:style w:type="paragraph" w:customStyle="1" w:styleId="29">
    <w:name w:val="icsm_references"/>
    <w:basedOn w:val="1"/>
    <w:qFormat/>
    <w:uiPriority w:val="0"/>
    <w:pPr>
      <w:ind w:left="240" w:hanging="240"/>
    </w:pPr>
    <w:rPr>
      <w:sz w:val="16"/>
    </w:rPr>
  </w:style>
  <w:style w:type="paragraph" w:customStyle="1" w:styleId="30">
    <w:name w:val="icsm_heading3"/>
    <w:basedOn w:val="1"/>
    <w:qFormat/>
    <w:uiPriority w:val="0"/>
    <w:pPr>
      <w:spacing w:before="240"/>
    </w:pPr>
    <w:rPr>
      <w:i/>
    </w:rPr>
  </w:style>
  <w:style w:type="paragraph" w:customStyle="1" w:styleId="31">
    <w:name w:val="op_2005"/>
    <w:basedOn w:val="1"/>
    <w:qFormat/>
    <w:uiPriority w:val="0"/>
    <w:pPr>
      <w:tabs>
        <w:tab w:val="left" w:pos="2520"/>
      </w:tabs>
      <w:spacing w:after="200"/>
      <w:jc w:val="center"/>
    </w:pPr>
    <w:rPr>
      <w:sz w:val="16"/>
    </w:rPr>
  </w:style>
  <w:style w:type="character" w:customStyle="1" w:styleId="32">
    <w:name w:val="Header Char"/>
    <w:link w:val="16"/>
    <w:qFormat/>
    <w:uiPriority w:val="99"/>
    <w:rPr>
      <w:rFonts w:ascii="Times New Roman" w:hAnsi="Times New Roman" w:eastAsia="Times New Roman" w:cs="Times New Roman"/>
      <w:sz w:val="20"/>
      <w:szCs w:val="20"/>
      <w:lang w:val="id-ID"/>
    </w:rPr>
  </w:style>
  <w:style w:type="character" w:customStyle="1" w:styleId="33">
    <w:name w:val="Footer Char"/>
    <w:link w:val="13"/>
    <w:qFormat/>
    <w:uiPriority w:val="99"/>
    <w:rPr>
      <w:rFonts w:ascii="Times New Roman" w:hAnsi="Times New Roman" w:eastAsia="Times New Roman" w:cs="Times New Roman"/>
      <w:sz w:val="20"/>
      <w:szCs w:val="20"/>
      <w:lang w:val="id-ID"/>
    </w:rPr>
  </w:style>
  <w:style w:type="character" w:customStyle="1" w:styleId="34">
    <w:name w:val="long_text"/>
    <w:qFormat/>
    <w:uiPriority w:val="0"/>
  </w:style>
  <w:style w:type="character" w:customStyle="1" w:styleId="35">
    <w:name w:val="hps"/>
    <w:qFormat/>
    <w:uiPriority w:val="0"/>
  </w:style>
  <w:style w:type="character" w:customStyle="1" w:styleId="36">
    <w:name w:val="Title Char"/>
    <w:link w:val="20"/>
    <w:qFormat/>
    <w:uiPriority w:val="10"/>
    <w:rPr>
      <w:rFonts w:ascii="Times New Roman" w:hAnsi="Times New Roman" w:eastAsia="Times New Roman"/>
      <w:b/>
      <w:bCs/>
      <w:kern w:val="28"/>
      <w:sz w:val="36"/>
      <w:szCs w:val="36"/>
      <w:lang w:val="id-ID"/>
    </w:rPr>
  </w:style>
  <w:style w:type="paragraph" w:customStyle="1" w:styleId="37">
    <w:name w:val="Text"/>
    <w:basedOn w:val="1"/>
    <w:link w:val="52"/>
    <w:qFormat/>
    <w:uiPriority w:val="0"/>
    <w:pPr>
      <w:widowControl w:val="0"/>
      <w:autoSpaceDE w:val="0"/>
      <w:autoSpaceDN w:val="0"/>
      <w:spacing w:line="252" w:lineRule="auto"/>
      <w:ind w:firstLine="202"/>
    </w:pPr>
    <w:rPr>
      <w:lang w:val="zh-CN" w:eastAsia="zh-CN"/>
    </w:rPr>
  </w:style>
  <w:style w:type="table" w:customStyle="1" w:styleId="38">
    <w:name w:val="Light List1"/>
    <w:basedOn w:val="8"/>
    <w:qFormat/>
    <w:uiPriority w:val="61"/>
    <w:rPr>
      <w:lang w:val="en-AU"/>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character" w:customStyle="1" w:styleId="39">
    <w:name w:val="Balloon Text Char"/>
    <w:link w:val="9"/>
    <w:semiHidden/>
    <w:qFormat/>
    <w:uiPriority w:val="99"/>
    <w:rPr>
      <w:rFonts w:ascii="Tahoma" w:hAnsi="Tahoma" w:eastAsia="Times New Roman" w:cs="Tahoma"/>
      <w:sz w:val="16"/>
      <w:szCs w:val="16"/>
      <w:lang w:val="id-ID"/>
    </w:rPr>
  </w:style>
  <w:style w:type="character" w:customStyle="1" w:styleId="40">
    <w:name w:val="Heading 2 Char"/>
    <w:link w:val="3"/>
    <w:qFormat/>
    <w:uiPriority w:val="9"/>
    <w:rPr>
      <w:rFonts w:ascii="Times New Roman" w:hAnsi="Times New Roman" w:eastAsia="Times New Roman"/>
      <w:b/>
      <w:bCs/>
      <w:color w:val="000000"/>
      <w:lang w:val="id-ID" w:eastAsia="zh-CN"/>
    </w:rPr>
  </w:style>
  <w:style w:type="paragraph" w:customStyle="1" w:styleId="41">
    <w:name w:val="Author Name"/>
    <w:basedOn w:val="1"/>
    <w:link w:val="43"/>
    <w:qFormat/>
    <w:uiPriority w:val="0"/>
    <w:pPr>
      <w:spacing w:after="120"/>
      <w:ind w:firstLine="0"/>
      <w:jc w:val="center"/>
    </w:pPr>
    <w:rPr>
      <w:b/>
      <w:sz w:val="26"/>
      <w:szCs w:val="26"/>
      <w:lang w:eastAsia="zh-CN"/>
    </w:rPr>
  </w:style>
  <w:style w:type="paragraph" w:customStyle="1" w:styleId="42">
    <w:name w:val="Author Afiliation"/>
    <w:basedOn w:val="27"/>
    <w:link w:val="45"/>
    <w:qFormat/>
    <w:uiPriority w:val="0"/>
    <w:pPr>
      <w:spacing w:after="0"/>
      <w:ind w:firstLine="0"/>
    </w:pPr>
  </w:style>
  <w:style w:type="character" w:customStyle="1" w:styleId="43">
    <w:name w:val="Author Name Char"/>
    <w:link w:val="41"/>
    <w:qFormat/>
    <w:uiPriority w:val="0"/>
    <w:rPr>
      <w:rFonts w:ascii="Times New Roman" w:hAnsi="Times New Roman" w:eastAsia="Times New Roman"/>
      <w:b/>
      <w:sz w:val="26"/>
      <w:szCs w:val="26"/>
      <w:lang w:val="id-ID"/>
    </w:rPr>
  </w:style>
  <w:style w:type="character" w:customStyle="1" w:styleId="44">
    <w:name w:val="icsm_addresses Char"/>
    <w:link w:val="27"/>
    <w:qFormat/>
    <w:uiPriority w:val="0"/>
    <w:rPr>
      <w:rFonts w:ascii="Times New Roman" w:hAnsi="Times New Roman" w:eastAsia="Times New Roman"/>
      <w:i/>
      <w:sz w:val="16"/>
      <w:lang w:val="id-ID"/>
    </w:rPr>
  </w:style>
  <w:style w:type="character" w:customStyle="1" w:styleId="45">
    <w:name w:val="Author Afiliation Char"/>
    <w:basedOn w:val="44"/>
    <w:link w:val="42"/>
    <w:qFormat/>
    <w:uiPriority w:val="0"/>
    <w:rPr>
      <w:rFonts w:ascii="Times New Roman" w:hAnsi="Times New Roman" w:eastAsia="Times New Roman"/>
      <w:sz w:val="16"/>
      <w:lang w:val="id-ID"/>
    </w:rPr>
  </w:style>
  <w:style w:type="character" w:customStyle="1" w:styleId="46">
    <w:name w:val="Heading 3 Char"/>
    <w:link w:val="4"/>
    <w:qFormat/>
    <w:uiPriority w:val="9"/>
    <w:rPr>
      <w:rFonts w:ascii="Times New Roman" w:hAnsi="Times New Roman" w:eastAsia="Times New Roman"/>
      <w:bCs/>
      <w:i/>
      <w:lang w:val="id-ID" w:eastAsia="zh-CN"/>
    </w:rPr>
  </w:style>
  <w:style w:type="paragraph" w:customStyle="1" w:styleId="47">
    <w:name w:val="Table Heading"/>
    <w:basedOn w:val="1"/>
    <w:link w:val="49"/>
    <w:qFormat/>
    <w:uiPriority w:val="0"/>
    <w:pPr>
      <w:ind w:firstLine="0"/>
      <w:jc w:val="center"/>
    </w:pPr>
    <w:rPr>
      <w:smallCaps/>
      <w:sz w:val="16"/>
      <w:lang w:val="zh-CN" w:eastAsia="zh-CN"/>
    </w:rPr>
  </w:style>
  <w:style w:type="character" w:customStyle="1" w:styleId="48">
    <w:name w:val="Heading 4 Char"/>
    <w:link w:val="5"/>
    <w:qFormat/>
    <w:uiPriority w:val="9"/>
    <w:rPr>
      <w:rFonts w:ascii="Times New Roman" w:hAnsi="Times New Roman"/>
      <w:i/>
      <w:lang w:val="en-AU" w:eastAsia="zh-CN"/>
    </w:rPr>
  </w:style>
  <w:style w:type="character" w:customStyle="1" w:styleId="49">
    <w:name w:val="Table Heading Char"/>
    <w:link w:val="47"/>
    <w:qFormat/>
    <w:uiPriority w:val="0"/>
    <w:rPr>
      <w:rFonts w:ascii="Times New Roman" w:hAnsi="Times New Roman" w:eastAsia="Times New Roman"/>
      <w:smallCaps/>
      <w:sz w:val="16"/>
    </w:rPr>
  </w:style>
  <w:style w:type="paragraph" w:customStyle="1" w:styleId="50">
    <w:name w:val="Figure Heading"/>
    <w:basedOn w:val="37"/>
    <w:link w:val="53"/>
    <w:qFormat/>
    <w:uiPriority w:val="0"/>
    <w:pPr>
      <w:ind w:firstLine="0"/>
      <w:jc w:val="center"/>
    </w:pPr>
    <w:rPr>
      <w:sz w:val="16"/>
      <w:szCs w:val="16"/>
    </w:rPr>
  </w:style>
  <w:style w:type="character" w:customStyle="1" w:styleId="51">
    <w:name w:val="atn"/>
    <w:qFormat/>
    <w:uiPriority w:val="0"/>
  </w:style>
  <w:style w:type="character" w:customStyle="1" w:styleId="52">
    <w:name w:val="Text Char"/>
    <w:link w:val="37"/>
    <w:qFormat/>
    <w:uiPriority w:val="0"/>
    <w:rPr>
      <w:rFonts w:ascii="Times New Roman" w:hAnsi="Times New Roman" w:eastAsia="Times New Roman"/>
    </w:rPr>
  </w:style>
  <w:style w:type="character" w:customStyle="1" w:styleId="53">
    <w:name w:val="Figure Heading Char"/>
    <w:link w:val="50"/>
    <w:qFormat/>
    <w:uiPriority w:val="0"/>
    <w:rPr>
      <w:rFonts w:ascii="Times New Roman" w:hAnsi="Times New Roman" w:eastAsia="Times New Roman"/>
      <w:sz w:val="16"/>
      <w:szCs w:val="16"/>
    </w:rPr>
  </w:style>
  <w:style w:type="paragraph" w:customStyle="1" w:styleId="54">
    <w:name w:val="IEEE Heading 2"/>
    <w:basedOn w:val="1"/>
    <w:next w:val="55"/>
    <w:qFormat/>
    <w:uiPriority w:val="0"/>
    <w:pPr>
      <w:numPr>
        <w:ilvl w:val="0"/>
        <w:numId w:val="7"/>
      </w:numPr>
      <w:adjustRightInd w:val="0"/>
      <w:snapToGrid w:val="0"/>
      <w:spacing w:before="150" w:after="60"/>
      <w:ind w:left="289" w:hanging="289"/>
      <w:jc w:val="left"/>
    </w:pPr>
    <w:rPr>
      <w:rFonts w:eastAsia="SimSun"/>
      <w:i/>
      <w:szCs w:val="24"/>
      <w:lang w:val="en-AU" w:eastAsia="zh-CN"/>
    </w:rPr>
  </w:style>
  <w:style w:type="paragraph" w:customStyle="1" w:styleId="55">
    <w:name w:val="IEEE Paragraph"/>
    <w:basedOn w:val="1"/>
    <w:link w:val="57"/>
    <w:qFormat/>
    <w:uiPriority w:val="0"/>
    <w:pPr>
      <w:adjustRightInd w:val="0"/>
      <w:snapToGrid w:val="0"/>
      <w:ind w:firstLine="216"/>
    </w:pPr>
    <w:rPr>
      <w:rFonts w:eastAsia="SimSun"/>
      <w:szCs w:val="24"/>
      <w:lang w:val="en-AU" w:eastAsia="zh-CN"/>
    </w:rPr>
  </w:style>
  <w:style w:type="paragraph" w:customStyle="1" w:styleId="56">
    <w:name w:val="IEEE Heading 1"/>
    <w:basedOn w:val="1"/>
    <w:next w:val="55"/>
    <w:qFormat/>
    <w:uiPriority w:val="0"/>
    <w:pPr>
      <w:numPr>
        <w:ilvl w:val="0"/>
        <w:numId w:val="8"/>
      </w:numPr>
      <w:adjustRightInd w:val="0"/>
      <w:snapToGrid w:val="0"/>
      <w:spacing w:before="180" w:after="60"/>
      <w:ind w:left="289" w:hanging="289"/>
      <w:jc w:val="center"/>
    </w:pPr>
    <w:rPr>
      <w:rFonts w:eastAsia="SimSun"/>
      <w:smallCaps/>
      <w:szCs w:val="24"/>
      <w:lang w:val="en-AU" w:eastAsia="zh-CN"/>
    </w:rPr>
  </w:style>
  <w:style w:type="character" w:customStyle="1" w:styleId="57">
    <w:name w:val="IEEE Paragraph Char"/>
    <w:link w:val="55"/>
    <w:qFormat/>
    <w:uiPriority w:val="0"/>
    <w:rPr>
      <w:rFonts w:ascii="Times New Roman" w:hAnsi="Times New Roman" w:eastAsia="SimSun"/>
      <w:szCs w:val="24"/>
      <w:lang w:val="en-AU" w:eastAsia="zh-CN"/>
    </w:rPr>
  </w:style>
  <w:style w:type="paragraph" w:customStyle="1" w:styleId="58">
    <w:name w:val="IEEE Reference Item"/>
    <w:basedOn w:val="1"/>
    <w:qFormat/>
    <w:uiPriority w:val="0"/>
    <w:pPr>
      <w:tabs>
        <w:tab w:val="left" w:pos="432"/>
      </w:tabs>
      <w:adjustRightInd w:val="0"/>
      <w:snapToGrid w:val="0"/>
      <w:ind w:left="432" w:hanging="432"/>
    </w:pPr>
    <w:rPr>
      <w:rFonts w:eastAsia="SimSun"/>
      <w:sz w:val="16"/>
      <w:szCs w:val="24"/>
      <w:lang w:val="en-US" w:eastAsia="zh-CN"/>
    </w:rPr>
  </w:style>
  <w:style w:type="character" w:customStyle="1" w:styleId="59">
    <w:name w:val="Footnote Text Char"/>
    <w:link w:val="15"/>
    <w:semiHidden/>
    <w:qFormat/>
    <w:uiPriority w:val="99"/>
    <w:rPr>
      <w:rFonts w:ascii="Times New Roman" w:hAnsi="Times New Roman" w:eastAsia="Times New Roman"/>
      <w:lang w:val="id-ID"/>
    </w:rPr>
  </w:style>
  <w:style w:type="character" w:customStyle="1" w:styleId="60">
    <w:name w:val="Body Text Indent Char"/>
    <w:link w:val="10"/>
    <w:uiPriority w:val="0"/>
    <w:rPr>
      <w:rFonts w:ascii="Times New Roman" w:hAnsi="Times New Roman" w:eastAsia="Times New Roman"/>
      <w:sz w:val="24"/>
      <w:szCs w:val="24"/>
      <w:lang w:val="en-GB"/>
    </w:rPr>
  </w:style>
  <w:style w:type="paragraph" w:customStyle="1" w:styleId="61">
    <w:name w:val="IEEE Abstract Heading"/>
    <w:basedOn w:val="62"/>
    <w:next w:val="62"/>
    <w:link w:val="63"/>
    <w:qFormat/>
    <w:uiPriority w:val="0"/>
    <w:rPr>
      <w:i/>
    </w:rPr>
  </w:style>
  <w:style w:type="paragraph" w:customStyle="1" w:styleId="62">
    <w:name w:val="IEEE Abtract"/>
    <w:basedOn w:val="1"/>
    <w:next w:val="1"/>
    <w:link w:val="64"/>
    <w:qFormat/>
    <w:uiPriority w:val="0"/>
    <w:pPr>
      <w:adjustRightInd w:val="0"/>
      <w:snapToGrid w:val="0"/>
      <w:ind w:firstLine="0"/>
    </w:pPr>
    <w:rPr>
      <w:rFonts w:eastAsia="SimSun"/>
      <w:b/>
      <w:sz w:val="18"/>
      <w:szCs w:val="24"/>
      <w:lang w:val="en-GB" w:eastAsia="en-GB"/>
    </w:rPr>
  </w:style>
  <w:style w:type="character" w:customStyle="1" w:styleId="63">
    <w:name w:val="IEEE Abstract Heading Char"/>
    <w:link w:val="61"/>
    <w:qFormat/>
    <w:uiPriority w:val="0"/>
    <w:rPr>
      <w:rFonts w:ascii="Times New Roman" w:hAnsi="Times New Roman" w:eastAsia="SimSun"/>
      <w:b/>
      <w:i/>
      <w:sz w:val="18"/>
      <w:szCs w:val="24"/>
      <w:lang w:val="en-GB" w:eastAsia="en-GB"/>
    </w:rPr>
  </w:style>
  <w:style w:type="character" w:customStyle="1" w:styleId="64">
    <w:name w:val="IEEE Abtract Char"/>
    <w:link w:val="62"/>
    <w:qFormat/>
    <w:uiPriority w:val="0"/>
    <w:rPr>
      <w:rFonts w:ascii="Times New Roman" w:hAnsi="Times New Roman" w:eastAsia="SimSun"/>
      <w:b/>
      <w:sz w:val="18"/>
      <w:szCs w:val="24"/>
      <w:lang w:val="en-GB" w:eastAsia="en-GB"/>
    </w:rPr>
  </w:style>
  <w:style w:type="paragraph" w:customStyle="1" w:styleId="65">
    <w:name w:val="icsm_abstract"/>
    <w:basedOn w:val="1"/>
    <w:qFormat/>
    <w:uiPriority w:val="0"/>
    <w:pPr>
      <w:spacing w:after="220"/>
      <w:ind w:firstLine="240"/>
    </w:pPr>
    <w:rPr>
      <w:sz w:val="18"/>
      <w:lang w:val="en-GB"/>
    </w:rPr>
  </w:style>
  <w:style w:type="character" w:customStyle="1" w:styleId="66">
    <w:name w:val="st"/>
    <w:qFormat/>
    <w:uiPriority w:val="0"/>
  </w:style>
  <w:style w:type="character" w:styleId="67">
    <w:name w:val="Placeholder Text"/>
    <w:basedOn w:val="7"/>
    <w:semiHidden/>
    <w:qFormat/>
    <w:uiPriority w:val="99"/>
    <w:rPr>
      <w:color w:val="808080"/>
    </w:rPr>
  </w:style>
  <w:style w:type="character" w:customStyle="1" w:styleId="68">
    <w:name w:val="Subtle Emphasis"/>
    <w:basedOn w:val="7"/>
    <w:qFormat/>
    <w:uiPriority w:val="19"/>
    <w:rPr>
      <w:i/>
      <w:iCs/>
      <w:color w:val="808080" w:themeColor="text1" w:themeTint="80"/>
      <w14:textFill>
        <w14:solidFill>
          <w14:schemeClr w14:val="tx1">
            <w14:lumMod w14:val="50000"/>
            <w14:lumOff w14:val="50000"/>
          </w14:schemeClr>
        </w14:solidFill>
      </w14:textFill>
    </w:rPr>
  </w:style>
  <w:style w:type="character" w:customStyle="1" w:styleId="69">
    <w:name w:val="Subtitle Char"/>
    <w:basedOn w:val="7"/>
    <w:link w:val="18"/>
    <w:qFormat/>
    <w:uiPriority w:val="11"/>
    <w:rPr>
      <w:rFonts w:asciiTheme="majorHAnsi" w:hAnsiTheme="majorHAnsi" w:eastAsiaTheme="majorEastAsia" w:cstheme="majorBidi"/>
      <w:i/>
      <w:iCs/>
      <w:color w:val="4F81BD" w:themeColor="accent1"/>
      <w:spacing w:val="15"/>
      <w:sz w:val="24"/>
      <w:szCs w:val="24"/>
      <w:lang w:val="id-ID"/>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microsoft.com/office/2007/relationships/hdphoto" Target="media/image2.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48D439-D82A-44DF-9F7C-935F610BB846}">
  <ds:schemaRefs/>
</ds:datastoreItem>
</file>

<file path=docProps/app.xml><?xml version="1.0" encoding="utf-8"?>
<Properties xmlns="http://schemas.openxmlformats.org/officeDocument/2006/extended-properties" xmlns:vt="http://schemas.openxmlformats.org/officeDocument/2006/docPropsVTypes">
  <Template>Normal.dotm</Template>
  <Company>Toshiba</Company>
  <Pages>8</Pages>
  <Words>5815</Words>
  <Characters>33898</Characters>
  <Lines>601</Lines>
  <Paragraphs>169</Paragraphs>
  <TotalTime>4375</TotalTime>
  <ScaleCrop>false</ScaleCrop>
  <LinksUpToDate>false</LinksUpToDate>
  <CharactersWithSpaces>42931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2025-08-03T07:50:00Z</dcterms:created>
  <dc:creator>jet team</dc:creator>
  <cp:lastModifiedBy>WPS_1707970835</cp:lastModifiedBy>
  <dcterms:modified xsi:type="dcterms:W3CDTF">2025-12-27T06:40:10Z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0eca6f98-695c-3405-92a1-572b179b3b95</vt:lpwstr>
  </property>
  <property fmtid="{D5CDD505-2E9C-101B-9397-08002B2CF9AE}" pid="24" name="Mendeley Citation Style_1">
    <vt:lpwstr>http://www.zotero.org/styles/ieee</vt:lpwstr>
  </property>
  <property fmtid="{D5CDD505-2E9C-101B-9397-08002B2CF9AE}" pid="25" name="KSOProductBuildVer">
    <vt:lpwstr>1033-12.2.0.23155</vt:lpwstr>
  </property>
  <property fmtid="{D5CDD505-2E9C-101B-9397-08002B2CF9AE}" pid="26" name="ICV">
    <vt:lpwstr>60A90A89DBE647FDABFBBA54D06BBD8F_12</vt:lpwstr>
  </property>
</Properties>
</file>