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E1E5B">
      <w:pPr>
        <w:pStyle w:val="20"/>
        <w:spacing w:after="0"/>
        <w:rPr>
          <w:color w:val="000000" w:themeColor="text1"/>
          <w14:textFill>
            <w14:solidFill>
              <w14:schemeClr w14:val="tx1"/>
            </w14:solidFill>
          </w14:textFill>
        </w:rPr>
      </w:pPr>
      <w:r>
        <w:rPr>
          <w:color w:val="000000" w:themeColor="text1"/>
          <w14:textFill>
            <w14:solidFill>
              <w14:schemeClr w14:val="tx1"/>
            </w14:solidFill>
          </w14:textFill>
        </w:rPr>
        <w:t>PID Controller-Based Closed-Loop Fast Charging of Lithium-Ion Batteries Using the CCCV Method</w:t>
      </w:r>
    </w:p>
    <w:p w14:paraId="4DC85FD8">
      <w:pPr>
        <w:rPr>
          <w:color w:val="000000" w:themeColor="text1"/>
          <w14:textFill>
            <w14:solidFill>
              <w14:schemeClr w14:val="tx1"/>
            </w14:solidFill>
          </w14:textFill>
        </w:rPr>
      </w:pPr>
    </w:p>
    <w:p w14:paraId="1B11D277">
      <w:pPr>
        <w:pStyle w:val="41"/>
        <w:rPr>
          <w:color w:val="000000" w:themeColor="text1"/>
          <w:lang w:val="en-US"/>
          <w14:textFill>
            <w14:solidFill>
              <w14:schemeClr w14:val="tx1"/>
            </w14:solidFill>
          </w14:textFill>
        </w:rPr>
      </w:pPr>
      <w:r>
        <w:rPr>
          <w:color w:val="000000" w:themeColor="text1"/>
          <w14:textFill>
            <w14:solidFill>
              <w14:schemeClr w14:val="tx1"/>
            </w14:solidFill>
          </w14:textFill>
        </w:rPr>
        <w:t>Tole Sutikno</w:t>
      </w:r>
      <w:r>
        <w:rPr>
          <w:color w:val="000000" w:themeColor="text1"/>
          <w:vertAlign w:val="superscript"/>
          <w14:textFill>
            <w14:solidFill>
              <w14:schemeClr w14:val="tx1"/>
            </w14:solidFill>
          </w14:textFill>
        </w:rPr>
        <w:t>a</w:t>
      </w:r>
      <w:r>
        <w:rPr>
          <w:color w:val="000000" w:themeColor="text1"/>
          <w:vertAlign w:val="superscript"/>
          <w:lang w:val="en-US"/>
          <w14:textFill>
            <w14:solidFill>
              <w14:schemeClr w14:val="tx1"/>
            </w14:solidFill>
          </w14:textFill>
        </w:rPr>
        <w:t>,b</w:t>
      </w:r>
      <w:r>
        <w:rPr>
          <w:rFonts w:hint="default"/>
          <w:color w:val="000000" w:themeColor="text1"/>
          <w:vertAlign w:val="superscript"/>
          <w:lang w:val="en-US"/>
          <w14:textFill>
            <w14:solidFill>
              <w14:schemeClr w14:val="tx1"/>
            </w14:solidFill>
          </w14:textFill>
        </w:rPr>
        <w:t>,*</w:t>
      </w:r>
      <w:r>
        <w:rPr>
          <w:color w:val="000000" w:themeColor="text1"/>
          <w14:textFill>
            <w14:solidFill>
              <w14:schemeClr w14:val="tx1"/>
            </w14:solidFill>
          </w14:textFill>
        </w:rPr>
        <w:t>, Tri Wahono</w:t>
      </w:r>
      <w:r>
        <w:rPr>
          <w:color w:val="000000" w:themeColor="text1"/>
          <w:vertAlign w:val="superscript"/>
          <w14:textFill>
            <w14:solidFill>
              <w14:schemeClr w14:val="tx1"/>
            </w14:solidFill>
          </w14:textFill>
        </w:rPr>
        <w:t>a</w:t>
      </w:r>
      <w:r>
        <w:rPr>
          <w:color w:val="000000" w:themeColor="text1"/>
          <w:vertAlign w:val="superscript"/>
          <w:lang w:val="en-US"/>
          <w14:textFill>
            <w14:solidFill>
              <w14:schemeClr w14:val="tx1"/>
            </w14:solidFill>
          </w14:textFill>
        </w:rPr>
        <w:t>,b</w:t>
      </w:r>
      <w:r>
        <w:rPr>
          <w:color w:val="000000" w:themeColor="text1"/>
          <w14:textFill>
            <w14:solidFill>
              <w14:schemeClr w14:val="tx1"/>
            </w14:solidFill>
          </w14:textFill>
        </w:rPr>
        <w:t>,</w:t>
      </w:r>
      <w:r>
        <w:rPr>
          <w:color w:val="000000" w:themeColor="text1"/>
          <w:lang w:val="en-US"/>
          <w14:textFill>
            <w14:solidFill>
              <w14:schemeClr w14:val="tx1"/>
            </w14:solidFill>
          </w14:textFill>
        </w:rPr>
        <w:t xml:space="preserve"> Ahmad Raditya Cahya Baswara</w:t>
      </w:r>
      <w:r>
        <w:rPr>
          <w:color w:val="000000" w:themeColor="text1"/>
          <w:vertAlign w:val="superscript"/>
          <w:lang w:val="en-US"/>
          <w14:textFill>
            <w14:solidFill>
              <w14:schemeClr w14:val="tx1"/>
            </w14:solidFill>
          </w14:textFill>
        </w:rPr>
        <w:t>a</w:t>
      </w:r>
    </w:p>
    <w:p w14:paraId="50A679E2">
      <w:pPr>
        <w:pStyle w:val="42"/>
        <w:rPr>
          <w:color w:val="000000" w:themeColor="text1"/>
          <w:sz w:val="18"/>
          <w:szCs w:val="18"/>
          <w14:textFill>
            <w14:solidFill>
              <w14:schemeClr w14:val="tx1"/>
            </w14:solidFill>
          </w14:textFill>
        </w:rPr>
      </w:pPr>
      <w:r>
        <w:rPr>
          <w:color w:val="000000" w:themeColor="text1"/>
          <w:sz w:val="18"/>
          <w:szCs w:val="18"/>
          <w:vertAlign w:val="superscript"/>
          <w14:textFill>
            <w14:solidFill>
              <w14:schemeClr w14:val="tx1"/>
            </w14:solidFill>
          </w14:textFill>
        </w:rPr>
        <w:t>a</w:t>
      </w:r>
      <w:r>
        <w:rPr>
          <w:color w:val="000000" w:themeColor="text1"/>
          <w:sz w:val="18"/>
          <w:szCs w:val="18"/>
          <w14:textFill>
            <w14:solidFill>
              <w14:schemeClr w14:val="tx1"/>
            </w14:solidFill>
          </w14:textFill>
        </w:rPr>
        <w:t>Faculty of Industrial Technology</w:t>
      </w:r>
    </w:p>
    <w:p w14:paraId="3551DA67">
      <w:pPr>
        <w:pStyle w:val="42"/>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Ahmad Dahlan University </w:t>
      </w:r>
    </w:p>
    <w:p w14:paraId="35905D40">
      <w:pPr>
        <w:pStyle w:val="42"/>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Campus 4, Jl. Ring Road Selatan, Kragilan, Tamanan, Banguntapan</w:t>
      </w:r>
      <w:r>
        <w:rPr>
          <w:rFonts w:hint="default"/>
          <w:color w:val="000000" w:themeColor="text1"/>
          <w:sz w:val="18"/>
          <w:szCs w:val="18"/>
          <w:lang w:val="en-US"/>
          <w14:textFill>
            <w14:solidFill>
              <w14:schemeClr w14:val="tx1"/>
            </w14:solidFill>
          </w14:textFill>
        </w:rPr>
        <w:t xml:space="preserve">, </w:t>
      </w:r>
      <w:r>
        <w:rPr>
          <w:color w:val="000000" w:themeColor="text1"/>
          <w:sz w:val="18"/>
          <w:szCs w:val="18"/>
          <w14:textFill>
            <w14:solidFill>
              <w14:schemeClr w14:val="tx1"/>
            </w14:solidFill>
          </w14:textFill>
        </w:rPr>
        <w:t>Bantul</w:t>
      </w:r>
    </w:p>
    <w:p w14:paraId="2EC9C134">
      <w:pPr>
        <w:pStyle w:val="42"/>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 Yogyakarta 55191, Indonesia </w:t>
      </w:r>
    </w:p>
    <w:p w14:paraId="2013911A">
      <w:pPr>
        <w:pStyle w:val="42"/>
        <w:rPr>
          <w:color w:val="000000" w:themeColor="text1"/>
          <w:sz w:val="18"/>
          <w:szCs w:val="18"/>
          <w14:textFill>
            <w14:solidFill>
              <w14:schemeClr w14:val="tx1"/>
            </w14:solidFill>
          </w14:textFill>
        </w:rPr>
      </w:pPr>
      <w:r>
        <w:rPr>
          <w:color w:val="000000" w:themeColor="text1"/>
          <w:sz w:val="18"/>
          <w:szCs w:val="18"/>
          <w:vertAlign w:val="superscript"/>
          <w14:textFill>
            <w14:solidFill>
              <w14:schemeClr w14:val="tx1"/>
            </w14:solidFill>
          </w14:textFill>
        </w:rPr>
        <w:t>b</w:t>
      </w:r>
      <w:r>
        <w:rPr>
          <w:color w:val="000000" w:themeColor="text1"/>
          <w:sz w:val="18"/>
          <w:szCs w:val="18"/>
          <w14:textFill>
            <w14:solidFill>
              <w14:schemeClr w14:val="tx1"/>
            </w14:solidFill>
          </w14:textFill>
        </w:rPr>
        <w:t>Embedded System and Power Electronics Research Group</w:t>
      </w:r>
    </w:p>
    <w:p w14:paraId="3AE49683">
      <w:pPr>
        <w:pStyle w:val="42"/>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JEC Residence, No. B2, Plumbon, RT 12, Jl. Sukun Raya, Modalan, Banguntapan,</w:t>
      </w:r>
      <w:r>
        <w:rPr>
          <w:rFonts w:hint="default"/>
          <w:color w:val="000000" w:themeColor="text1"/>
          <w:sz w:val="18"/>
          <w:szCs w:val="18"/>
          <w:lang w:val="en-US"/>
          <w14:textFill>
            <w14:solidFill>
              <w14:schemeClr w14:val="tx1"/>
            </w14:solidFill>
          </w14:textFill>
        </w:rPr>
        <w:t xml:space="preserve"> </w:t>
      </w:r>
      <w:r>
        <w:rPr>
          <w:color w:val="000000" w:themeColor="text1"/>
          <w:sz w:val="18"/>
          <w:szCs w:val="18"/>
          <w14:textFill>
            <w14:solidFill>
              <w14:schemeClr w14:val="tx1"/>
            </w14:solidFill>
          </w14:textFill>
        </w:rPr>
        <w:t>Bantul</w:t>
      </w:r>
    </w:p>
    <w:p w14:paraId="53F08127">
      <w:pPr>
        <w:pStyle w:val="42"/>
        <w:rPr>
          <w:color w:val="000000" w:themeColor="text1"/>
          <w:sz w:val="18"/>
          <w:szCs w:val="18"/>
          <w:lang w:val="en-US"/>
          <w14:textFill>
            <w14:solidFill>
              <w14:schemeClr w14:val="tx1"/>
            </w14:solidFill>
          </w14:textFill>
        </w:rPr>
      </w:pPr>
      <w:r>
        <w:rPr>
          <w:color w:val="000000" w:themeColor="text1"/>
          <w:sz w:val="18"/>
          <w:szCs w:val="18"/>
          <w14:textFill>
            <w14:solidFill>
              <w14:schemeClr w14:val="tx1"/>
            </w14:solidFill>
          </w14:textFill>
        </w:rPr>
        <w:t xml:space="preserve"> Yogyakarta 55198</w:t>
      </w:r>
      <w:r>
        <w:rPr>
          <w:rFonts w:hint="default"/>
          <w:color w:val="000000" w:themeColor="text1"/>
          <w:sz w:val="18"/>
          <w:szCs w:val="18"/>
          <w:lang w:val="en-US"/>
          <w14:textFill>
            <w14:solidFill>
              <w14:schemeClr w14:val="tx1"/>
            </w14:solidFill>
          </w14:textFill>
        </w:rPr>
        <w:t>,</w:t>
      </w:r>
      <w:r>
        <w:rPr>
          <w:color w:val="000000" w:themeColor="text1"/>
          <w:sz w:val="18"/>
          <w:szCs w:val="18"/>
          <w14:textFill>
            <w14:solidFill>
              <w14:schemeClr w14:val="tx1"/>
            </w14:solidFill>
          </w14:textFill>
        </w:rPr>
        <w:t xml:space="preserve"> Indonesia </w:t>
      </w:r>
    </w:p>
    <w:p w14:paraId="4C978A23">
      <w:pPr>
        <w:pStyle w:val="42"/>
        <w:pBdr>
          <w:bottom w:val="single" w:color="auto" w:sz="6" w:space="1"/>
        </w:pBdr>
        <w:rPr>
          <w:color w:val="000000" w:themeColor="text1"/>
          <w:sz w:val="18"/>
          <w:szCs w:val="18"/>
          <w14:textFill>
            <w14:solidFill>
              <w14:schemeClr w14:val="tx1"/>
            </w14:solidFill>
          </w14:textFill>
        </w:rPr>
      </w:pPr>
    </w:p>
    <w:p w14:paraId="6C9B50CE">
      <w:pPr>
        <w:spacing w:before="120" w:after="120"/>
        <w:ind w:firstLine="0"/>
        <w:jc w:val="center"/>
        <w:rPr>
          <w:b/>
          <w:color w:val="000000" w:themeColor="text1"/>
          <w:sz w:val="18"/>
          <w:szCs w:val="18"/>
          <w:lang w:val="en-US"/>
          <w14:textFill>
            <w14:solidFill>
              <w14:schemeClr w14:val="tx1"/>
            </w14:solidFill>
          </w14:textFill>
        </w:rPr>
      </w:pPr>
      <w:r>
        <w:rPr>
          <w:b/>
          <w:color w:val="000000" w:themeColor="text1"/>
          <w:sz w:val="18"/>
          <w:szCs w:val="18"/>
          <w:lang w:val="en-US"/>
          <w14:textFill>
            <w14:solidFill>
              <w14:schemeClr w14:val="tx1"/>
            </w14:solidFill>
          </w14:textFill>
        </w:rPr>
        <w:t>Abstract</w:t>
      </w:r>
    </w:p>
    <w:p w14:paraId="2F909AB3">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This paper presents a closed-loop fast charging system for lithium-ion batteries based on the Constant</w:t>
      </w:r>
      <w:r>
        <w:rPr>
          <w:color w:val="000000" w:themeColor="text1"/>
          <w:sz w:val="18"/>
          <w:szCs w:val="18"/>
          <w:lang w:val="en-US"/>
          <w14:textFill>
            <w14:solidFill>
              <w14:schemeClr w14:val="tx1"/>
            </w14:solidFill>
          </w14:textFill>
        </w:rPr>
        <w:t>-</w:t>
      </w:r>
      <w:r>
        <w:rPr>
          <w:color w:val="000000" w:themeColor="text1"/>
          <w:sz w:val="18"/>
          <w:szCs w:val="18"/>
          <w14:textFill>
            <w14:solidFill>
              <w14:schemeClr w14:val="tx1"/>
            </w14:solidFill>
          </w14:textFill>
        </w:rPr>
        <w:t>Current</w:t>
      </w:r>
      <w:r>
        <w:rPr>
          <w:color w:val="000000" w:themeColor="text1"/>
          <w:sz w:val="18"/>
          <w:szCs w:val="18"/>
          <w:lang w:val="en-US"/>
          <w14:textFill>
            <w14:solidFill>
              <w14:schemeClr w14:val="tx1"/>
            </w14:solidFill>
          </w14:textFill>
        </w:rPr>
        <w:t xml:space="preserve"> </w:t>
      </w:r>
      <w:r>
        <w:rPr>
          <w:color w:val="000000" w:themeColor="text1"/>
          <w:sz w:val="18"/>
          <w:szCs w:val="18"/>
          <w14:textFill>
            <w14:solidFill>
              <w14:schemeClr w14:val="tx1"/>
            </w14:solidFill>
          </w14:textFill>
        </w:rPr>
        <w:t>Constant</w:t>
      </w:r>
      <w:r>
        <w:rPr>
          <w:color w:val="000000" w:themeColor="text1"/>
          <w:sz w:val="18"/>
          <w:szCs w:val="18"/>
          <w:lang w:val="en-US"/>
          <w14:textFill>
            <w14:solidFill>
              <w14:schemeClr w14:val="tx1"/>
            </w14:solidFill>
          </w14:textFill>
        </w:rPr>
        <w:t>-</w:t>
      </w:r>
      <w:r>
        <w:rPr>
          <w:color w:val="000000" w:themeColor="text1"/>
          <w:sz w:val="18"/>
          <w:szCs w:val="18"/>
          <w14:textFill>
            <w14:solidFill>
              <w14:schemeClr w14:val="tx1"/>
            </w14:solidFill>
          </w14:textFill>
        </w:rPr>
        <w:t>Voltage (CCCV) method enhanced with a Proportional</w:t>
      </w:r>
      <w:r>
        <w:rPr>
          <w:color w:val="000000" w:themeColor="text1"/>
          <w:sz w:val="18"/>
          <w:szCs w:val="18"/>
          <w:lang w:val="en-US"/>
          <w14:textFill>
            <w14:solidFill>
              <w14:schemeClr w14:val="tx1"/>
            </w14:solidFill>
          </w14:textFill>
        </w:rPr>
        <w:t xml:space="preserve"> </w:t>
      </w:r>
      <w:r>
        <w:rPr>
          <w:color w:val="000000" w:themeColor="text1"/>
          <w:sz w:val="18"/>
          <w:szCs w:val="18"/>
          <w14:textFill>
            <w14:solidFill>
              <w14:schemeClr w14:val="tx1"/>
            </w14:solidFill>
          </w14:textFill>
        </w:rPr>
        <w:t>Integral</w:t>
      </w:r>
      <w:r>
        <w:rPr>
          <w:color w:val="000000" w:themeColor="text1"/>
          <w:sz w:val="18"/>
          <w:szCs w:val="18"/>
          <w:lang w:val="en-US"/>
          <w14:textFill>
            <w14:solidFill>
              <w14:schemeClr w14:val="tx1"/>
            </w14:solidFill>
          </w14:textFill>
        </w:rPr>
        <w:t xml:space="preserve"> </w:t>
      </w:r>
      <w:r>
        <w:rPr>
          <w:color w:val="000000" w:themeColor="text1"/>
          <w:sz w:val="18"/>
          <w:szCs w:val="18"/>
          <w14:textFill>
            <w14:solidFill>
              <w14:schemeClr w14:val="tx1"/>
            </w14:solidFill>
          </w14:textFill>
        </w:rPr>
        <w:t>Derivative (PID) controller. The proposed system dynamically regulates the charging parameters by using real-time feedback from voltage and current sensors, with the aim of improving the efficiency of the charging and ensuring battery safety. Experimental results demonstrate that the PID-controlled method maintains a higher current during the initial bulk charging phase, significantly reduces total charging time, and avoids harmful voltage overshoot. Compared to conventional CCCV charging, the system achieves more stable voltage regulation and gradual current tapering, effectively minimizing thermal stress and preventing overcharging. A comparative analysis shows that the PID approach outperforms traditional methods in terms of energy efficiency, thermal management, and operational safety. The system architecture is suitable for integration into Battery Management Systems (BMS) of electric vehicles, portable electronics, and renewable energy storage. This research not only validates the practicality of using PID in fast charging applications but also lays the foundation for future enhancements using intelligent control strategies and adaptive learning algorithms. The findings suggest that PID-controlled charging systems offer a promising solution to the challenges of rapid, reliable, and safe energy replenishment in modern battery-powered technologies.</w:t>
      </w:r>
    </w:p>
    <w:p w14:paraId="1B9335F8">
      <w:pPr>
        <w:rPr>
          <w:color w:val="000000" w:themeColor="text1"/>
          <w:sz w:val="18"/>
          <w:szCs w:val="18"/>
          <w14:textFill>
            <w14:solidFill>
              <w14:schemeClr w14:val="tx1"/>
            </w14:solidFill>
          </w14:textFill>
        </w:rPr>
      </w:pPr>
    </w:p>
    <w:p w14:paraId="798A3C76">
      <w:pPr>
        <w:ind w:firstLine="0"/>
        <w:rPr>
          <w:rStyle w:val="64"/>
          <w:b w:val="0"/>
          <w:color w:val="000000" w:themeColor="text1"/>
          <w:szCs w:val="18"/>
          <w:lang w:val="id-ID"/>
          <w14:textFill>
            <w14:solidFill>
              <w14:schemeClr w14:val="tx1"/>
            </w14:solidFill>
          </w14:textFill>
        </w:rPr>
      </w:pPr>
      <w:r>
        <w:rPr>
          <w:rStyle w:val="63"/>
          <w:i w:val="0"/>
          <w:color w:val="000000" w:themeColor="text1"/>
          <w:szCs w:val="18"/>
          <w14:textFill>
            <w14:solidFill>
              <w14:schemeClr w14:val="tx1"/>
            </w14:solidFill>
          </w14:textFill>
        </w:rPr>
        <w:t>Keywords:</w:t>
      </w:r>
      <w:r>
        <w:rPr>
          <w:rStyle w:val="63"/>
          <w:b w:val="0"/>
          <w:i w:val="0"/>
          <w:color w:val="000000" w:themeColor="text1"/>
          <w:szCs w:val="18"/>
          <w14:textFill>
            <w14:solidFill>
              <w14:schemeClr w14:val="tx1"/>
            </w14:solidFill>
          </w14:textFill>
        </w:rPr>
        <w:t xml:space="preserve"> </w:t>
      </w:r>
      <w:r>
        <w:rPr>
          <w:rStyle w:val="63"/>
          <w:rFonts w:hint="default"/>
          <w:b w:val="0"/>
          <w:i w:val="0"/>
          <w:color w:val="000000" w:themeColor="text1"/>
          <w:szCs w:val="18"/>
          <w:lang w:val="en-US"/>
          <w14:textFill>
            <w14:solidFill>
              <w14:schemeClr w14:val="tx1"/>
            </w14:solidFill>
          </w14:textFill>
        </w:rPr>
        <w:t>f</w:t>
      </w:r>
      <w:r>
        <w:rPr>
          <w:rStyle w:val="63"/>
          <w:b w:val="0"/>
          <w:i w:val="0"/>
          <w:color w:val="000000" w:themeColor="text1"/>
          <w:szCs w:val="18"/>
          <w14:textFill>
            <w14:solidFill>
              <w14:schemeClr w14:val="tx1"/>
            </w14:solidFill>
          </w14:textFill>
        </w:rPr>
        <w:t>ast charging, lithium-ion battery, PID controller, CCCV method, closed-loop control, battery management system</w:t>
      </w:r>
      <w:r>
        <w:rPr>
          <w:rFonts w:eastAsia="SimSun"/>
          <w:color w:val="000000" w:themeColor="text1"/>
          <w:sz w:val="18"/>
          <w:szCs w:val="18"/>
          <w:lang w:val="en-US" w:eastAsia="en-GB"/>
          <w14:textFill>
            <w14:solidFill>
              <w14:schemeClr w14:val="tx1"/>
            </w14:solidFill>
          </w14:textFill>
        </w:rPr>
        <w:t>.</w:t>
      </w:r>
    </w:p>
    <w:p w14:paraId="473E851C">
      <w:pPr>
        <w:pBdr>
          <w:bottom w:val="single" w:color="auto" w:sz="6" w:space="1"/>
        </w:pBdr>
        <w:ind w:firstLine="0"/>
        <w:rPr>
          <w:rStyle w:val="64"/>
          <w:i/>
          <w:color w:val="000000" w:themeColor="text1"/>
          <w:szCs w:val="18"/>
          <w14:textFill>
            <w14:solidFill>
              <w14:schemeClr w14:val="tx1"/>
            </w14:solidFill>
          </w14:textFill>
        </w:rPr>
      </w:pPr>
    </w:p>
    <w:p w14:paraId="448561F5">
      <w:pPr>
        <w:rPr>
          <w:color w:val="000000" w:themeColor="text1"/>
          <w:lang w:val="en-US"/>
          <w14:textFill>
            <w14:solidFill>
              <w14:schemeClr w14:val="tx1"/>
            </w14:solidFill>
          </w14:textFill>
        </w:rPr>
      </w:pPr>
    </w:p>
    <w:p w14:paraId="4C0BC53A">
      <w:pPr>
        <w:rPr>
          <w:color w:val="000000" w:themeColor="text1"/>
          <w:lang w:val="en-US"/>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footnotePr>
            <w:numFmt w:val="chicago"/>
            <w:numRestart w:val="eachPage"/>
          </w:footnotePr>
          <w:type w:val="continuous"/>
          <w:pgSz w:w="11906" w:h="16838"/>
          <w:pgMar w:top="1134" w:right="1134" w:bottom="1134" w:left="1418" w:header="720" w:footer="720" w:gutter="0"/>
          <w:pgNumType w:fmt="decimal" w:start="162"/>
          <w:cols w:space="284" w:num="1"/>
          <w:titlePg/>
          <w:docGrid w:linePitch="272" w:charSpace="0"/>
        </w:sectPr>
      </w:pPr>
    </w:p>
    <w:p w14:paraId="7A9A1803">
      <w:pPr>
        <w:pStyle w:val="2"/>
        <w:spacing w:before="0"/>
        <w:rPr>
          <w:color w:val="000000" w:themeColor="text1"/>
          <w14:textFill>
            <w14:solidFill>
              <w14:schemeClr w14:val="tx1"/>
            </w14:solidFill>
          </w14:textFill>
        </w:rPr>
      </w:pPr>
      <w:r>
        <w:rPr>
          <w:color w:val="000000" w:themeColor="text1"/>
          <w14:textFill>
            <w14:solidFill>
              <w14:schemeClr w14:val="tx1"/>
            </w14:solidFill>
          </w14:textFill>
        </w:rPr>
        <w:t>Introduction</w:t>
      </w:r>
    </w:p>
    <w:p w14:paraId="08E83626">
      <w:pPr>
        <w:pStyle w:val="37"/>
        <w:keepNext w:val="0"/>
        <w:keepLines w:val="0"/>
        <w:pageBreakBefore w:val="0"/>
        <w:kinsoku/>
        <w:wordWrap/>
        <w:overflowPunct/>
        <w:topLinePunct w:val="0"/>
        <w:bidi w:val="0"/>
        <w:adjustRightInd/>
        <w:snapToGrid/>
        <w:ind w:firstLine="357"/>
        <w:textAlignment w:val="auto"/>
        <w:rPr>
          <w:rFonts w:ascii="Arial" w:hAnsi="Arial" w:cs="Arial"/>
          <w:color w:val="000000" w:themeColor="text1"/>
          <w14:textFill>
            <w14:solidFill>
              <w14:schemeClr w14:val="tx1"/>
            </w14:solidFill>
          </w14:textFill>
        </w:rPr>
      </w:pPr>
      <w:r>
        <w:rPr>
          <w:color w:val="000000" w:themeColor="text1"/>
          <w14:textFill>
            <w14:solidFill>
              <w14:schemeClr w14:val="tx1"/>
            </w14:solidFill>
          </w14:textFill>
        </w:rPr>
        <w:t xml:space="preserve">Lithium-ion batteries (LIBs) are widely used in various applications, including electric vehicles (EVs), portable electronics, and renewable energy storage, due to their high energy density and long cycle life </w:t>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ADDIN CSL_CITATION {"citationItems":[{"id":"ITEM-1","itemData":{"DOI":"10.1016/j.renene.2019.08.077","ISSN":"09601481","author":[{"dropping-particle":"","family":"Li","given":"Yunjian","non-dropping-particle":"","parse-names":false,"suffix":""},{"dropping-particle":"","family":"Li","given":"Kuining","non-dropping-particle":"","parse-names":false,"suffix":""},{"dropping-particle":"","family":"Xie","given":"Yi","non-dropping-particle":"","parse-names":false,"suffix":""},{"dropping-particle":"","family":"Liu","given":"Jiangyan","non-dropping-particle":"","parse-names":false,"suffix":""},{"dropping-particle":"","family":"Fu","given":"Chunyun","non-dropping-particle":"","parse-names":false,"suffix":""},{"dropping-particle":"","family":"Liu","given":"Bin","non-dropping-particle":"","parse-names":false,"suffix":""}],"container-title":"Renewable Energy","id":"ITEM-1","issued":{"date-parts":[["2020","2"]]},"page":"2688-2699","publisher":"Elsevier","title":"Optimized charging of lithium-ion battery for electric vehicles: Adaptive multistage constant current–constant voltage charging strategy","type":"article-journal","volume":"146"},"uris":["http://www.mendeley.com/documents/?uuid=87eb709c-db2f-40d5-b55a-8e1acac963e9"]},{"id":"ITEM-2","itemData":{"DOI":"10.11591/ijaas.v13.i3.pp591-599","ISSN":"2722-2594","abstract":"The role of electric vehicles (EVs) is very important in the coming years because of their environmental friendliness and ability to absorb excess electricity from renewable energy sources (RES). Charging EVs will have an immediate negative impact on the power grid. EV smart charging provides a solution to these problems. For sustainable energy management, smart charging technology offers significant advantages in terms of faster charging times and optimized grid usage. By leveraging advanced algorithms and real-time communication capabilities, smart chargers enhance the efficiency, convenience, and environmental sustainability of EV charging infrastructure. Constant-current (CC) and constant-voltage (CV) technologies are essential components of smart charging systems, contributing to improved charging efficiency, battery safety, and grid stability. By regulating the charging process and optimizing power flow, these technologies play a crucial role in advancing the adoption of EVs and promoting sustainable energy management. When advanced CC-CV technologies are added to smart charging systems, the whole paradigm changes. Charging efficiency goes up by 40%, charging time goes down by 50%, and the grid's impact is reduced by 50% through better energy distribution.","author":[{"dropping-particle":"","family":"Sutikno","given":"Tole","non-dropping-particle":"","parse-names":false,"suffix":""},{"dropping-particle":"","family":"Wahono","given":"Tri","non-dropping-particle":"","parse-names":false,"suffix":""},{"dropping-particle":"","family":"Ardiansyah","given":"Ardiansyah","non-dropping-particle":"","parse-names":false,"suffix":""}],"container-title":"International Journal of Advances in Applied Sciences","id":"ITEM-2","issue":"3","issued":{"date-parts":[["2024","9","1"]]},"page":"591","title":"A study of smart charging for electric vehicles using constant-current and constant-voltage technology","type":"article-journal","volume":"13"},"uris":["http://www.mendeley.com/documents/?uuid=61b9c472-890a-4d70-8a84-1eede33e1ca3"]},{"id":"ITEM-3","itemData":{"DOI":"10.1016/j.egyr.2024.05.062","ISSN":"2352-4847","author":[{"dropping-particle":"","family":"Shahed","given":"Tanvir","non-dropping-particle":"","parse-names":false,"suffix":""},{"dropping-particle":"","family":"Rashid","given":"A B M Harun-ur","non-dropping-particle":"","parse-names":false,"suffix":""}],"container-title":"Energy Reports","id":"ITEM-3","issue":"May 2023","issued":{"date-parts":[["2024"]]},"page":"5978-5998","publisher":"Elsevier Ltd","title":"Battery charging technologies and standards for electric vehicles : A state-of-the-art review , challenges , and future research prospects","type":"article-journal","volume":"11"},"uris":["http://www.mendeley.com/documents/?uuid=55f54623-48f3-45ac-a4b6-e1a772fba081"]},{"id":"ITEM-4","itemData":{"DOI":"10.1016/j.sajce.2024.09.008","ISSN":"10269185","abstract":"Advances in cathode materials continue to drive the development of safer, more efficient, and sustainable lithium-ion (Li-ion) batteries for various applications, including electric vehicles (EVs) and grid storage. This review article offers insights into key elements—lithium, nickel, manganese, cobalt, and aluminium—within modern battery technology, focusing on their roles and significance in Li-ion batteries. The review paper delves into the materials comprising a Li-ion battery cell, including the cathode, anode, current concentrators, binders, additives, electrolyte, separator, and cell casing, elucidating their roles and characteristics. Additionally, it examines various cathode materials crucial to the performance and safety of Li-ion batteries, such as spinels, lithium metal oxides, and olivines, presenting their distinct advantages and challenges for battery applications. Lithium manganese (Li-Mn-O) spinels, like LiMn2O4, offer a cost-effective and environmentally friendly option with good thermal stability despite challenges such as capacity fading, which necessitate innovative approaches like dual-doping strategies. Nickel-rich lithium metal oxides like LiNixMnyCo1-x-yO2 provide high specific energy but face/encounter issues with cobalt reliance and stability, prompting research to reduce cobalt content and increase nickel content. Olivine-based cathode materials, such as lithium iron phosphate (LiFePO4), prioritize safety and stability but exhibit lower energy density, leading to exploration into isomorphous substitutions and nanostructuring to enhance performance. Safety considerations, including thermal management and rigorous testing protocols, are essential to mitigate risks of thermal runaway and short circuits. Thus, this review scrutinizes recent advancements in Li-ion battery cathode materials, delving into strategies aimed at mitigating associated drawbacks and identifying suitable electrode materials based on their electrochemical performance and capacity during operation.","author":[{"dropping-particle":"","family":"Koech","given":"Alex K.","non-dropping-particle":"","parse-names":false,"suffix":""},{"dropping-particle":"","family":"Mwandila","given":"Gershom","non-dropping-particle":"","parse-names":false,"suffix":""},{"dropping-particle":"","family":"Mulolani","given":"Francis","non-dropping-particle":"","parse-names":false,"suffix":""},{"dropping-particle":"","family":"Mwaanga","given":"Phenny","non-dropping-particle":"","parse-names":false,"suffix":""}],"container-title":"South African Journal of Chemical Engineering","id":"ITEM-4","issue":"September","issued":{"date-parts":[["2024"]]},"page":"321-339","publisher":"Elsevier B.V.","title":"Lithium-ion battery fundamentals and exploration of cathode materials: A review","type":"article-journal","volume":"50"},"uris":["http://www.mendeley.com/documents/?uuid=b7b3a3d9-5c58-4a14-87f7-1115881fc30c"]}],"mendeley":{"formattedCitation":"[1]–[4]","plainTextFormattedCitation":"[1]–[4]","previouslyFormattedCitation":"[1]–[4]"},"properties":{"noteIndex":0},"schema":"https://github.com/citation-style-language/schema/raw/master/csl-citation.json"}</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However, conventional charging methods can be inefficient and can lead to battery degradation, overheating, and safety concerns. Fast charging techniques are essential to meet the growing energy demands and reduce charging times without compromising battery lifespan.</w:t>
      </w:r>
    </w:p>
    <w:p w14:paraId="7412E457">
      <w:pPr>
        <w:keepNext w:val="0"/>
        <w:keepLines w:val="0"/>
        <w:pageBreakBefore w:val="0"/>
        <w:kinsoku/>
        <w:wordWrap/>
        <w:overflowPunct/>
        <w:topLinePunct w:val="0"/>
        <w:bidi w:val="0"/>
        <w:adjustRightInd/>
        <w:snapToGrid/>
        <w:ind w:firstLine="357"/>
        <w:textAlignment w:val="auto"/>
        <w:rPr>
          <w:color w:val="000000" w:themeColor="text1"/>
          <w:lang w:val="en-US"/>
          <w14:textFill>
            <w14:solidFill>
              <w14:schemeClr w14:val="tx1"/>
            </w14:solidFill>
          </w14:textFill>
        </w:rPr>
      </w:pPr>
      <w:r>
        <w:rPr>
          <w:color w:val="000000" w:themeColor="text1"/>
          <w:lang w:eastAsia="id-ID"/>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-78740</wp:posOffset>
                </wp:positionH>
                <wp:positionV relativeFrom="margin">
                  <wp:posOffset>8029575</wp:posOffset>
                </wp:positionV>
                <wp:extent cx="2915920" cy="956945"/>
                <wp:effectExtent l="0" t="0" r="0" b="0"/>
                <wp:wrapSquare wrapText="bothSides"/>
                <wp:docPr id="22" name="Text Box 22"/>
                <wp:cNvGraphicFramePr/>
                <a:graphic xmlns:a="http://schemas.openxmlformats.org/drawingml/2006/main">
                  <a:graphicData uri="http://schemas.microsoft.com/office/word/2010/wordprocessingShape">
                    <wps:wsp>
                      <wps:cNvSpPr txBox="1">
                        <a:spLocks noChangeArrowheads="1"/>
                      </wps:cNvSpPr>
                      <wps:spPr bwMode="auto">
                        <a:xfrm>
                          <a:off x="0" y="0"/>
                          <a:ext cx="2915920" cy="956945"/>
                        </a:xfrm>
                        <a:prstGeom prst="rect">
                          <a:avLst/>
                        </a:prstGeom>
                        <a:noFill/>
                        <a:ln>
                          <a:noFill/>
                        </a:ln>
                        <a:effectLst/>
                      </wps:spPr>
                      <wps:txbx>
                        <w:txbxContent>
                          <w:p w14:paraId="11122F2A">
                            <w:pPr>
                              <w:widowControl w:val="0"/>
                              <w:pBdr>
                                <w:top w:val="single" w:color="auto" w:sz="6" w:space="1"/>
                              </w:pBdr>
                              <w:autoSpaceDE w:val="0"/>
                              <w:autoSpaceDN w:val="0"/>
                              <w:adjustRightInd w:val="0"/>
                              <w:ind w:right="-28" w:firstLine="0"/>
                              <w:jc w:val="left"/>
                              <w:rPr>
                                <w:i/>
                                <w:color w:val="auto"/>
                                <w:w w:val="104"/>
                                <w:sz w:val="16"/>
                                <w:szCs w:val="16"/>
                              </w:rPr>
                            </w:pPr>
                            <w:bookmarkStart w:id="0" w:name="_Hlk91702109"/>
                            <w:bookmarkEnd w:id="0"/>
                            <w:r>
                              <w:rPr>
                                <w:i/>
                                <w:color w:val="auto"/>
                                <w:w w:val="104"/>
                                <w:sz w:val="16"/>
                                <w:szCs w:val="16"/>
                              </w:rPr>
                              <w:t xml:space="preserve">* </w:t>
                            </w:r>
                            <w:r>
                              <w:rPr>
                                <w:color w:val="auto"/>
                                <w:w w:val="104"/>
                                <w:sz w:val="16"/>
                                <w:szCs w:val="16"/>
                              </w:rPr>
                              <w:t>Corresponding Author</w:t>
                            </w:r>
                            <w:r>
                              <w:rPr>
                                <w:i/>
                                <w:color w:val="auto"/>
                                <w:w w:val="104"/>
                                <w:sz w:val="16"/>
                                <w:szCs w:val="16"/>
                              </w:rPr>
                              <w:t xml:space="preserve">. </w:t>
                            </w:r>
                          </w:p>
                          <w:p w14:paraId="219587A1">
                            <w:pPr>
                              <w:pStyle w:val="42"/>
                              <w:jc w:val="left"/>
                              <w:rPr>
                                <w:i w:val="0"/>
                                <w:color w:val="auto"/>
                                <w:szCs w:val="16"/>
                                <w:lang w:val="en-US"/>
                              </w:rPr>
                            </w:pPr>
                            <w:r>
                              <w:rPr>
                                <w:i w:val="0"/>
                                <w:color w:val="auto"/>
                                <w:w w:val="104"/>
                                <w:szCs w:val="16"/>
                              </w:rPr>
                              <w:t xml:space="preserve">Email: </w:t>
                            </w:r>
                            <w:r>
                              <w:rPr>
                                <w:rFonts w:hint="default"/>
                                <w:i w:val="0"/>
                                <w:color w:val="auto"/>
                                <w:w w:val="104"/>
                                <w:szCs w:val="16"/>
                              </w:rPr>
                              <w:t>tole@te.uad.ac.id</w:t>
                            </w:r>
                            <w:r>
                              <w:rPr>
                                <w:i w:val="0"/>
                                <w:color w:val="auto"/>
                                <w:w w:val="104"/>
                                <w:szCs w:val="16"/>
                              </w:rPr>
                              <w:t xml:space="preserve">  </w:t>
                            </w:r>
                          </w:p>
                          <w:p w14:paraId="03FF5495">
                            <w:pPr>
                              <w:widowControl w:val="0"/>
                              <w:tabs>
                                <w:tab w:val="left" w:pos="1985"/>
                              </w:tabs>
                              <w:autoSpaceDE w:val="0"/>
                              <w:autoSpaceDN w:val="0"/>
                              <w:adjustRightInd w:val="0"/>
                              <w:ind w:right="-28" w:firstLine="0"/>
                              <w:rPr>
                                <w:rFonts w:hint="default"/>
                                <w:color w:val="000000" w:themeColor="text1"/>
                                <w:w w:val="104"/>
                                <w:sz w:val="16"/>
                                <w:szCs w:val="16"/>
                                <w:lang w:val="en-US"/>
                                <w14:textFill>
                                  <w14:solidFill>
                                    <w14:schemeClr w14:val="tx1"/>
                                  </w14:solidFill>
                                </w14:textFill>
                              </w:rPr>
                            </w:pPr>
                            <w:r>
                              <w:rPr>
                                <w:color w:val="000000" w:themeColor="text1"/>
                                <w:w w:val="104"/>
                                <w:sz w:val="16"/>
                                <w:szCs w:val="16"/>
                                <w14:textFill>
                                  <w14:solidFill>
                                    <w14:schemeClr w14:val="tx1"/>
                                  </w14:solidFill>
                                </w14:textFill>
                              </w:rPr>
                              <w:t>Received:</w:t>
                            </w:r>
                            <w:r>
                              <w:rPr>
                                <w:rFonts w:hint="default"/>
                                <w:color w:val="000000" w:themeColor="text1"/>
                                <w:w w:val="104"/>
                                <w:sz w:val="16"/>
                                <w:szCs w:val="16"/>
                                <w:lang w:val="en-US"/>
                                <w14:textFill>
                                  <w14:solidFill>
                                    <w14:schemeClr w14:val="tx1"/>
                                  </w14:solidFill>
                                </w14:textFill>
                              </w:rPr>
                              <w:t xml:space="preserve"> June 10</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r>
                              <w:rPr>
                                <w:rFonts w:hint="default"/>
                                <w:color w:val="000000" w:themeColor="text1"/>
                                <w:w w:val="104"/>
                                <w:sz w:val="16"/>
                                <w:szCs w:val="16"/>
                                <w:lang w:val="en-US"/>
                                <w14:textFill>
                                  <w14:solidFill>
                                    <w14:schemeClr w14:val="tx1"/>
                                  </w14:solidFill>
                                </w14:textFill>
                              </w:rPr>
                              <w:tab/>
                            </w:r>
                            <w:r>
                              <w:rPr>
                                <w:rFonts w:hint="default"/>
                                <w:color w:val="000000" w:themeColor="text1"/>
                                <w:w w:val="104"/>
                                <w:sz w:val="16"/>
                                <w:szCs w:val="16"/>
                                <w:lang w:val="en-US"/>
                                <w14:textFill>
                                  <w14:solidFill>
                                    <w14:schemeClr w14:val="tx1"/>
                                  </w14:solidFill>
                                </w14:textFill>
                              </w:rPr>
                              <w:tab/>
                            </w:r>
                            <w:r>
                              <w:rPr>
                                <w:color w:val="000000" w:themeColor="text1"/>
                                <w:w w:val="104"/>
                                <w:sz w:val="16"/>
                                <w:szCs w:val="16"/>
                                <w14:textFill>
                                  <w14:solidFill>
                                    <w14:schemeClr w14:val="tx1"/>
                                  </w14:solidFill>
                                </w14:textFill>
                              </w:rPr>
                              <w:t>;</w:t>
                            </w:r>
                            <w:r>
                              <w:rPr>
                                <w:color w:val="000000" w:themeColor="text1"/>
                                <w:w w:val="104"/>
                                <w:sz w:val="16"/>
                                <w:szCs w:val="16"/>
                                <w:lang w:val="en-US"/>
                                <w14:textFill>
                                  <w14:solidFill>
                                    <w14:schemeClr w14:val="tx1"/>
                                  </w14:solidFill>
                                </w14:textFill>
                              </w:rPr>
                              <w:t xml:space="preserve"> </w:t>
                            </w:r>
                            <w:r>
                              <w:rPr>
                                <w:color w:val="000000" w:themeColor="text1"/>
                                <w:w w:val="104"/>
                                <w:sz w:val="16"/>
                                <w:szCs w:val="16"/>
                                <w14:textFill>
                                  <w14:solidFill>
                                    <w14:schemeClr w14:val="tx1"/>
                                  </w14:solidFill>
                                </w14:textFill>
                              </w:rPr>
                              <w:t xml:space="preserve">Revised: </w:t>
                            </w:r>
                            <w:r>
                              <w:rPr>
                                <w:rFonts w:hint="default"/>
                                <w:color w:val="000000" w:themeColor="text1"/>
                                <w:w w:val="104"/>
                                <w:sz w:val="16"/>
                                <w:szCs w:val="16"/>
                                <w:lang w:val="en-US"/>
                                <w14:textFill>
                                  <w14:solidFill>
                                    <w14:schemeClr w14:val="tx1"/>
                                  </w14:solidFill>
                                </w14:textFill>
                              </w:rPr>
                              <w:t>July 7</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p>
                          <w:p w14:paraId="77B083CB">
                            <w:pPr>
                              <w:widowControl w:val="0"/>
                              <w:tabs>
                                <w:tab w:val="left" w:pos="1985"/>
                              </w:tabs>
                              <w:autoSpaceDE w:val="0"/>
                              <w:autoSpaceDN w:val="0"/>
                              <w:adjustRightInd w:val="0"/>
                              <w:ind w:right="-28" w:firstLine="0"/>
                              <w:rPr>
                                <w:rFonts w:hint="default"/>
                                <w:color w:val="000000" w:themeColor="text1"/>
                                <w:w w:val="104"/>
                                <w:sz w:val="16"/>
                                <w:szCs w:val="16"/>
                                <w:lang w:val="en-US"/>
                                <w14:textFill>
                                  <w14:solidFill>
                                    <w14:schemeClr w14:val="tx1"/>
                                  </w14:solidFill>
                                </w14:textFill>
                              </w:rPr>
                            </w:pPr>
                            <w:r>
                              <w:rPr>
                                <w:color w:val="000000" w:themeColor="text1"/>
                                <w:w w:val="104"/>
                                <w:sz w:val="16"/>
                                <w:szCs w:val="16"/>
                                <w14:textFill>
                                  <w14:solidFill>
                                    <w14:schemeClr w14:val="tx1"/>
                                  </w14:solidFill>
                                </w14:textFill>
                              </w:rPr>
                              <w:t>Accepted:</w:t>
                            </w:r>
                            <w:r>
                              <w:rPr>
                                <w:rFonts w:hint="default"/>
                                <w:color w:val="000000" w:themeColor="text1"/>
                                <w:w w:val="104"/>
                                <w:sz w:val="16"/>
                                <w:szCs w:val="16"/>
                                <w:lang w:val="en-US"/>
                                <w14:textFill>
                                  <w14:solidFill>
                                    <w14:schemeClr w14:val="tx1"/>
                                  </w14:solidFill>
                                </w14:textFill>
                              </w:rPr>
                              <w:t xml:space="preserve"> Agustus 11</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r>
                              <w:rPr>
                                <w:color w:val="000000" w:themeColor="text1"/>
                                <w:w w:val="104"/>
                                <w:sz w:val="16"/>
                                <w:szCs w:val="16"/>
                                <w14:textFill>
                                  <w14:solidFill>
                                    <w14:schemeClr w14:val="tx1"/>
                                  </w14:solidFill>
                                </w14:textFill>
                              </w:rPr>
                              <w:tab/>
                            </w:r>
                            <w:r>
                              <w:rPr>
                                <w:rFonts w:hint="default"/>
                                <w:color w:val="000000" w:themeColor="text1"/>
                                <w:w w:val="104"/>
                                <w:sz w:val="16"/>
                                <w:szCs w:val="16"/>
                                <w:lang w:val="en-US"/>
                                <w14:textFill>
                                  <w14:solidFill>
                                    <w14:schemeClr w14:val="tx1"/>
                                  </w14:solidFill>
                                </w14:textFill>
                              </w:rPr>
                              <w:tab/>
                            </w:r>
                            <w:r>
                              <w:rPr>
                                <w:color w:val="000000" w:themeColor="text1"/>
                                <w:w w:val="104"/>
                                <w:sz w:val="16"/>
                                <w:szCs w:val="16"/>
                                <w14:textFill>
                                  <w14:solidFill>
                                    <w14:schemeClr w14:val="tx1"/>
                                  </w14:solidFill>
                                </w14:textFill>
                              </w:rPr>
                              <w:t xml:space="preserve">; Published: </w:t>
                            </w:r>
                            <w:r>
                              <w:rPr>
                                <w:rFonts w:hint="default"/>
                                <w:color w:val="000000" w:themeColor="text1"/>
                                <w:w w:val="104"/>
                                <w:sz w:val="16"/>
                                <w:szCs w:val="16"/>
                                <w:lang w:val="en-US"/>
                                <w14:textFill>
                                  <w14:solidFill>
                                    <w14:schemeClr w14:val="tx1"/>
                                  </w14:solidFill>
                                </w14:textFill>
                              </w:rPr>
                              <w:t xml:space="preserve">December </w:t>
                            </w:r>
                            <w:r>
                              <w:rPr>
                                <w:color w:val="000000" w:themeColor="text1"/>
                                <w:w w:val="104"/>
                                <w:sz w:val="16"/>
                                <w:szCs w:val="16"/>
                                <w14:textFill>
                                  <w14:solidFill>
                                    <w14:schemeClr w14:val="tx1"/>
                                  </w14:solidFill>
                                </w14:textFill>
                              </w:rPr>
                              <w:t>31, 202</w:t>
                            </w:r>
                            <w:r>
                              <w:rPr>
                                <w:rFonts w:hint="default"/>
                                <w:color w:val="000000" w:themeColor="text1"/>
                                <w:w w:val="104"/>
                                <w:sz w:val="16"/>
                                <w:szCs w:val="16"/>
                                <w:lang w:val="en-US"/>
                                <w14:textFill>
                                  <w14:solidFill>
                                    <w14:schemeClr w14:val="tx1"/>
                                  </w14:solidFill>
                                </w14:textFill>
                              </w:rPr>
                              <w:t>5</w:t>
                            </w:r>
                          </w:p>
                          <w:p w14:paraId="105766DB">
                            <w:pPr>
                              <w:widowControl w:val="0"/>
                              <w:tabs>
                                <w:tab w:val="left" w:pos="1985"/>
                              </w:tabs>
                              <w:autoSpaceDE w:val="0"/>
                              <w:autoSpaceDN w:val="0"/>
                              <w:adjustRightInd w:val="0"/>
                              <w:ind w:right="-28" w:firstLine="0"/>
                              <w:rPr>
                                <w:rFonts w:eastAsia="Calibri"/>
                                <w:color w:val="000000" w:themeColor="text1"/>
                                <w:sz w:val="16"/>
                                <w:szCs w:val="16"/>
                                <w:lang w:val="en-US"/>
                                <w14:textFill>
                                  <w14:solidFill>
                                    <w14:schemeClr w14:val="tx1"/>
                                  </w14:solidFill>
                                </w14:textFill>
                              </w:rPr>
                            </w:pPr>
                          </w:p>
                          <w:p w14:paraId="3F7C198F">
                            <w:pPr>
                              <w:widowControl w:val="0"/>
                              <w:tabs>
                                <w:tab w:val="left" w:pos="1985"/>
                              </w:tabs>
                              <w:autoSpaceDE w:val="0"/>
                              <w:autoSpaceDN w:val="0"/>
                              <w:adjustRightInd w:val="0"/>
                              <w:ind w:right="-28" w:firstLine="0"/>
                              <w:rPr>
                                <w:rFonts w:eastAsia="Calibri"/>
                                <w:color w:val="000000" w:themeColor="text1"/>
                                <w:sz w:val="16"/>
                                <w:szCs w:val="16"/>
                                <w14:textFill>
                                  <w14:solidFill>
                                    <w14:schemeClr w14:val="tx1"/>
                                  </w14:solidFill>
                                </w14:textFill>
                              </w:rPr>
                            </w:pPr>
                            <w:r>
                              <w:rPr>
                                <w:rFonts w:eastAsia="Calibri"/>
                                <w:color w:val="000000" w:themeColor="text1"/>
                                <w:sz w:val="16"/>
                                <w:szCs w:val="16"/>
                                <w:lang w:val="en-US"/>
                                <w14:textFill>
                                  <w14:solidFill>
                                    <w14:schemeClr w14:val="tx1"/>
                                  </w14:solidFill>
                                </w14:textFill>
                              </w:rPr>
                              <w:t>Open access under CC-BY-NC-SA</w:t>
                            </w:r>
                          </w:p>
                          <w:p w14:paraId="4F25ED5A">
                            <w:pPr>
                              <w:widowControl w:val="0"/>
                              <w:tabs>
                                <w:tab w:val="left" w:pos="1985"/>
                              </w:tabs>
                              <w:autoSpaceDE w:val="0"/>
                              <w:autoSpaceDN w:val="0"/>
                              <w:adjustRightInd w:val="0"/>
                              <w:ind w:right="-28" w:firstLine="0"/>
                              <w:rPr>
                                <w:color w:val="000000" w:themeColor="text1"/>
                                <w:w w:val="104"/>
                                <w:sz w:val="16"/>
                                <w:szCs w:val="16"/>
                                <w14:textFill>
                                  <w14:solidFill>
                                    <w14:schemeClr w14:val="tx1"/>
                                  </w14:solidFill>
                                </w14:textFill>
                              </w:rPr>
                            </w:pPr>
                            <w:r>
                              <w:rPr>
                                <w:color w:val="000000" w:themeColor="text1"/>
                                <w:w w:val="104"/>
                                <w:sz w:val="16"/>
                                <w:szCs w:val="16"/>
                                <w14:textFill>
                                  <w14:solidFill>
                                    <w14:schemeClr w14:val="tx1"/>
                                  </w14:solidFill>
                                </w14:textFill>
                              </w:rPr>
                              <w:sym w:font="Symbol" w:char="F0D3"/>
                            </w:r>
                            <w:r>
                              <w:rPr>
                                <w:color w:val="000000" w:themeColor="text1"/>
                                <w:w w:val="104"/>
                                <w:sz w:val="16"/>
                                <w:szCs w:val="16"/>
                                <w14:textFill>
                                  <w14:solidFill>
                                    <w14:schemeClr w14:val="tx1"/>
                                  </w14:solidFill>
                                </w14:textFill>
                              </w:rPr>
                              <w:t xml:space="preserve"> 202</w:t>
                            </w:r>
                            <w:r>
                              <w:rPr>
                                <w:rFonts w:hint="default"/>
                                <w:color w:val="000000" w:themeColor="text1"/>
                                <w:w w:val="104"/>
                                <w:sz w:val="16"/>
                                <w:szCs w:val="16"/>
                                <w:lang w:val="en-US"/>
                                <w14:textFill>
                                  <w14:solidFill>
                                    <w14:schemeClr w14:val="tx1"/>
                                  </w14:solidFill>
                                </w14:textFill>
                              </w:rPr>
                              <w:t>5</w:t>
                            </w:r>
                            <w:r>
                              <w:rPr>
                                <w:color w:val="000000" w:themeColor="text1"/>
                                <w:w w:val="104"/>
                                <w:sz w:val="16"/>
                                <w:szCs w:val="16"/>
                                <w:lang w:val="en-US"/>
                                <w14:textFill>
                                  <w14:solidFill>
                                    <w14:schemeClr w14:val="tx1"/>
                                  </w14:solidFill>
                                </w14:textFill>
                              </w:rPr>
                              <w:t xml:space="preserve"> BRIN</w:t>
                            </w:r>
                          </w:p>
                          <w:p w14:paraId="684DE2A7">
                            <w:pPr>
                              <w:widowControl w:val="0"/>
                              <w:autoSpaceDE w:val="0"/>
                              <w:autoSpaceDN w:val="0"/>
                              <w:adjustRightInd w:val="0"/>
                              <w:ind w:right="-28" w:firstLine="0"/>
                              <w:jc w:val="left"/>
                              <w:rPr>
                                <w:w w:val="104"/>
                                <w:sz w:val="16"/>
                                <w:szCs w:val="16"/>
                              </w:rPr>
                            </w:pPr>
                            <w:r>
                              <w:rPr>
                                <w:color w:val="FFFFFF"/>
                                <w:w w:val="104"/>
                                <w:sz w:val="16"/>
                                <w:szCs w:val="16"/>
                              </w:rPr>
                              <w:t>25-32</w:t>
                            </w:r>
                          </w:p>
                          <w:p w14:paraId="298E0D89"/>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2pt;margin-top:632.25pt;height:75.35pt;width:229.6pt;mso-position-vertical-relative:margin;mso-wrap-distance-bottom:0pt;mso-wrap-distance-left:9pt;mso-wrap-distance-right:9pt;mso-wrap-distance-top:0pt;z-index:-251654144;mso-width-relative:page;mso-height-relative:page;" filled="f" stroked="f" coordsize="21600,21600" o:gfxdata="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9mWt2AAAAA0BAAAPAAAAAAAAAAEAIAAA&#10;ACIAAABkcnMvZG93bnJldi54bWxQSwECFAAUAAAACACHTuJAWXYf/AwCAAAkBAAADgAAAAAAAAAB&#10;ACAAAAAnAQAAZHJzL2Uyb0RvYy54bWxQSwUGAAAAAAYABgBZAQAApQUAAAAA&#10;">
                <v:fill on="f" focussize="0,0"/>
                <v:stroke on="f"/>
                <v:imagedata o:title=""/>
                <o:lock v:ext="edit" aspectratio="f"/>
                <v:textbox>
                  <w:txbxContent>
                    <w:p w14:paraId="11122F2A">
                      <w:pPr>
                        <w:widowControl w:val="0"/>
                        <w:pBdr>
                          <w:top w:val="single" w:color="auto" w:sz="6" w:space="1"/>
                        </w:pBdr>
                        <w:autoSpaceDE w:val="0"/>
                        <w:autoSpaceDN w:val="0"/>
                        <w:adjustRightInd w:val="0"/>
                        <w:ind w:right="-28" w:firstLine="0"/>
                        <w:jc w:val="left"/>
                        <w:rPr>
                          <w:i/>
                          <w:color w:val="auto"/>
                          <w:w w:val="104"/>
                          <w:sz w:val="16"/>
                          <w:szCs w:val="16"/>
                        </w:rPr>
                      </w:pPr>
                      <w:bookmarkStart w:id="0" w:name="_Hlk91702109"/>
                      <w:bookmarkEnd w:id="0"/>
                      <w:r>
                        <w:rPr>
                          <w:i/>
                          <w:color w:val="auto"/>
                          <w:w w:val="104"/>
                          <w:sz w:val="16"/>
                          <w:szCs w:val="16"/>
                        </w:rPr>
                        <w:t xml:space="preserve">* </w:t>
                      </w:r>
                      <w:r>
                        <w:rPr>
                          <w:color w:val="auto"/>
                          <w:w w:val="104"/>
                          <w:sz w:val="16"/>
                          <w:szCs w:val="16"/>
                        </w:rPr>
                        <w:t>Corresponding Author</w:t>
                      </w:r>
                      <w:r>
                        <w:rPr>
                          <w:i/>
                          <w:color w:val="auto"/>
                          <w:w w:val="104"/>
                          <w:sz w:val="16"/>
                          <w:szCs w:val="16"/>
                        </w:rPr>
                        <w:t xml:space="preserve">. </w:t>
                      </w:r>
                    </w:p>
                    <w:p w14:paraId="219587A1">
                      <w:pPr>
                        <w:pStyle w:val="42"/>
                        <w:jc w:val="left"/>
                        <w:rPr>
                          <w:i w:val="0"/>
                          <w:color w:val="auto"/>
                          <w:szCs w:val="16"/>
                          <w:lang w:val="en-US"/>
                        </w:rPr>
                      </w:pPr>
                      <w:r>
                        <w:rPr>
                          <w:i w:val="0"/>
                          <w:color w:val="auto"/>
                          <w:w w:val="104"/>
                          <w:szCs w:val="16"/>
                        </w:rPr>
                        <w:t xml:space="preserve">Email: </w:t>
                      </w:r>
                      <w:r>
                        <w:rPr>
                          <w:rFonts w:hint="default"/>
                          <w:i w:val="0"/>
                          <w:color w:val="auto"/>
                          <w:w w:val="104"/>
                          <w:szCs w:val="16"/>
                        </w:rPr>
                        <w:t>tole@te.uad.ac.id</w:t>
                      </w:r>
                      <w:r>
                        <w:rPr>
                          <w:i w:val="0"/>
                          <w:color w:val="auto"/>
                          <w:w w:val="104"/>
                          <w:szCs w:val="16"/>
                        </w:rPr>
                        <w:t xml:space="preserve">  </w:t>
                      </w:r>
                    </w:p>
                    <w:p w14:paraId="03FF5495">
                      <w:pPr>
                        <w:widowControl w:val="0"/>
                        <w:tabs>
                          <w:tab w:val="left" w:pos="1985"/>
                        </w:tabs>
                        <w:autoSpaceDE w:val="0"/>
                        <w:autoSpaceDN w:val="0"/>
                        <w:adjustRightInd w:val="0"/>
                        <w:ind w:right="-28" w:firstLine="0"/>
                        <w:rPr>
                          <w:rFonts w:hint="default"/>
                          <w:color w:val="000000" w:themeColor="text1"/>
                          <w:w w:val="104"/>
                          <w:sz w:val="16"/>
                          <w:szCs w:val="16"/>
                          <w:lang w:val="en-US"/>
                          <w14:textFill>
                            <w14:solidFill>
                              <w14:schemeClr w14:val="tx1"/>
                            </w14:solidFill>
                          </w14:textFill>
                        </w:rPr>
                      </w:pPr>
                      <w:r>
                        <w:rPr>
                          <w:color w:val="000000" w:themeColor="text1"/>
                          <w:w w:val="104"/>
                          <w:sz w:val="16"/>
                          <w:szCs w:val="16"/>
                          <w14:textFill>
                            <w14:solidFill>
                              <w14:schemeClr w14:val="tx1"/>
                            </w14:solidFill>
                          </w14:textFill>
                        </w:rPr>
                        <w:t>Received:</w:t>
                      </w:r>
                      <w:r>
                        <w:rPr>
                          <w:rFonts w:hint="default"/>
                          <w:color w:val="000000" w:themeColor="text1"/>
                          <w:w w:val="104"/>
                          <w:sz w:val="16"/>
                          <w:szCs w:val="16"/>
                          <w:lang w:val="en-US"/>
                          <w14:textFill>
                            <w14:solidFill>
                              <w14:schemeClr w14:val="tx1"/>
                            </w14:solidFill>
                          </w14:textFill>
                        </w:rPr>
                        <w:t xml:space="preserve"> June 10</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r>
                        <w:rPr>
                          <w:rFonts w:hint="default"/>
                          <w:color w:val="000000" w:themeColor="text1"/>
                          <w:w w:val="104"/>
                          <w:sz w:val="16"/>
                          <w:szCs w:val="16"/>
                          <w:lang w:val="en-US"/>
                          <w14:textFill>
                            <w14:solidFill>
                              <w14:schemeClr w14:val="tx1"/>
                            </w14:solidFill>
                          </w14:textFill>
                        </w:rPr>
                        <w:tab/>
                      </w:r>
                      <w:r>
                        <w:rPr>
                          <w:rFonts w:hint="default"/>
                          <w:color w:val="000000" w:themeColor="text1"/>
                          <w:w w:val="104"/>
                          <w:sz w:val="16"/>
                          <w:szCs w:val="16"/>
                          <w:lang w:val="en-US"/>
                          <w14:textFill>
                            <w14:solidFill>
                              <w14:schemeClr w14:val="tx1"/>
                            </w14:solidFill>
                          </w14:textFill>
                        </w:rPr>
                        <w:tab/>
                      </w:r>
                      <w:r>
                        <w:rPr>
                          <w:color w:val="000000" w:themeColor="text1"/>
                          <w:w w:val="104"/>
                          <w:sz w:val="16"/>
                          <w:szCs w:val="16"/>
                          <w14:textFill>
                            <w14:solidFill>
                              <w14:schemeClr w14:val="tx1"/>
                            </w14:solidFill>
                          </w14:textFill>
                        </w:rPr>
                        <w:t>;</w:t>
                      </w:r>
                      <w:r>
                        <w:rPr>
                          <w:color w:val="000000" w:themeColor="text1"/>
                          <w:w w:val="104"/>
                          <w:sz w:val="16"/>
                          <w:szCs w:val="16"/>
                          <w:lang w:val="en-US"/>
                          <w14:textFill>
                            <w14:solidFill>
                              <w14:schemeClr w14:val="tx1"/>
                            </w14:solidFill>
                          </w14:textFill>
                        </w:rPr>
                        <w:t xml:space="preserve"> </w:t>
                      </w:r>
                      <w:r>
                        <w:rPr>
                          <w:color w:val="000000" w:themeColor="text1"/>
                          <w:w w:val="104"/>
                          <w:sz w:val="16"/>
                          <w:szCs w:val="16"/>
                          <w14:textFill>
                            <w14:solidFill>
                              <w14:schemeClr w14:val="tx1"/>
                            </w14:solidFill>
                          </w14:textFill>
                        </w:rPr>
                        <w:t xml:space="preserve">Revised: </w:t>
                      </w:r>
                      <w:r>
                        <w:rPr>
                          <w:rFonts w:hint="default"/>
                          <w:color w:val="000000" w:themeColor="text1"/>
                          <w:w w:val="104"/>
                          <w:sz w:val="16"/>
                          <w:szCs w:val="16"/>
                          <w:lang w:val="en-US"/>
                          <w14:textFill>
                            <w14:solidFill>
                              <w14:schemeClr w14:val="tx1"/>
                            </w14:solidFill>
                          </w14:textFill>
                        </w:rPr>
                        <w:t>July 7</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p>
                    <w:p w14:paraId="77B083CB">
                      <w:pPr>
                        <w:widowControl w:val="0"/>
                        <w:tabs>
                          <w:tab w:val="left" w:pos="1985"/>
                        </w:tabs>
                        <w:autoSpaceDE w:val="0"/>
                        <w:autoSpaceDN w:val="0"/>
                        <w:adjustRightInd w:val="0"/>
                        <w:ind w:right="-28" w:firstLine="0"/>
                        <w:rPr>
                          <w:rFonts w:hint="default"/>
                          <w:color w:val="000000" w:themeColor="text1"/>
                          <w:w w:val="104"/>
                          <w:sz w:val="16"/>
                          <w:szCs w:val="16"/>
                          <w:lang w:val="en-US"/>
                          <w14:textFill>
                            <w14:solidFill>
                              <w14:schemeClr w14:val="tx1"/>
                            </w14:solidFill>
                          </w14:textFill>
                        </w:rPr>
                      </w:pPr>
                      <w:r>
                        <w:rPr>
                          <w:color w:val="000000" w:themeColor="text1"/>
                          <w:w w:val="104"/>
                          <w:sz w:val="16"/>
                          <w:szCs w:val="16"/>
                          <w14:textFill>
                            <w14:solidFill>
                              <w14:schemeClr w14:val="tx1"/>
                            </w14:solidFill>
                          </w14:textFill>
                        </w:rPr>
                        <w:t>Accepted:</w:t>
                      </w:r>
                      <w:r>
                        <w:rPr>
                          <w:rFonts w:hint="default"/>
                          <w:color w:val="000000" w:themeColor="text1"/>
                          <w:w w:val="104"/>
                          <w:sz w:val="16"/>
                          <w:szCs w:val="16"/>
                          <w:lang w:val="en-US"/>
                          <w14:textFill>
                            <w14:solidFill>
                              <w14:schemeClr w14:val="tx1"/>
                            </w14:solidFill>
                          </w14:textFill>
                        </w:rPr>
                        <w:t xml:space="preserve"> Agustus 11</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r>
                        <w:rPr>
                          <w:color w:val="000000" w:themeColor="text1"/>
                          <w:w w:val="104"/>
                          <w:sz w:val="16"/>
                          <w:szCs w:val="16"/>
                          <w14:textFill>
                            <w14:solidFill>
                              <w14:schemeClr w14:val="tx1"/>
                            </w14:solidFill>
                          </w14:textFill>
                        </w:rPr>
                        <w:tab/>
                      </w:r>
                      <w:r>
                        <w:rPr>
                          <w:rFonts w:hint="default"/>
                          <w:color w:val="000000" w:themeColor="text1"/>
                          <w:w w:val="104"/>
                          <w:sz w:val="16"/>
                          <w:szCs w:val="16"/>
                          <w:lang w:val="en-US"/>
                          <w14:textFill>
                            <w14:solidFill>
                              <w14:schemeClr w14:val="tx1"/>
                            </w14:solidFill>
                          </w14:textFill>
                        </w:rPr>
                        <w:tab/>
                      </w:r>
                      <w:r>
                        <w:rPr>
                          <w:color w:val="000000" w:themeColor="text1"/>
                          <w:w w:val="104"/>
                          <w:sz w:val="16"/>
                          <w:szCs w:val="16"/>
                          <w14:textFill>
                            <w14:solidFill>
                              <w14:schemeClr w14:val="tx1"/>
                            </w14:solidFill>
                          </w14:textFill>
                        </w:rPr>
                        <w:t xml:space="preserve">; Published: </w:t>
                      </w:r>
                      <w:r>
                        <w:rPr>
                          <w:rFonts w:hint="default"/>
                          <w:color w:val="000000" w:themeColor="text1"/>
                          <w:w w:val="104"/>
                          <w:sz w:val="16"/>
                          <w:szCs w:val="16"/>
                          <w:lang w:val="en-US"/>
                          <w14:textFill>
                            <w14:solidFill>
                              <w14:schemeClr w14:val="tx1"/>
                            </w14:solidFill>
                          </w14:textFill>
                        </w:rPr>
                        <w:t xml:space="preserve">December </w:t>
                      </w:r>
                      <w:r>
                        <w:rPr>
                          <w:color w:val="000000" w:themeColor="text1"/>
                          <w:w w:val="104"/>
                          <w:sz w:val="16"/>
                          <w:szCs w:val="16"/>
                          <w14:textFill>
                            <w14:solidFill>
                              <w14:schemeClr w14:val="tx1"/>
                            </w14:solidFill>
                          </w14:textFill>
                        </w:rPr>
                        <w:t>31, 202</w:t>
                      </w:r>
                      <w:r>
                        <w:rPr>
                          <w:rFonts w:hint="default"/>
                          <w:color w:val="000000" w:themeColor="text1"/>
                          <w:w w:val="104"/>
                          <w:sz w:val="16"/>
                          <w:szCs w:val="16"/>
                          <w:lang w:val="en-US"/>
                          <w14:textFill>
                            <w14:solidFill>
                              <w14:schemeClr w14:val="tx1"/>
                            </w14:solidFill>
                          </w14:textFill>
                        </w:rPr>
                        <w:t>5</w:t>
                      </w:r>
                    </w:p>
                    <w:p w14:paraId="105766DB">
                      <w:pPr>
                        <w:widowControl w:val="0"/>
                        <w:tabs>
                          <w:tab w:val="left" w:pos="1985"/>
                        </w:tabs>
                        <w:autoSpaceDE w:val="0"/>
                        <w:autoSpaceDN w:val="0"/>
                        <w:adjustRightInd w:val="0"/>
                        <w:ind w:right="-28" w:firstLine="0"/>
                        <w:rPr>
                          <w:rFonts w:eastAsia="Calibri"/>
                          <w:color w:val="000000" w:themeColor="text1"/>
                          <w:sz w:val="16"/>
                          <w:szCs w:val="16"/>
                          <w:lang w:val="en-US"/>
                          <w14:textFill>
                            <w14:solidFill>
                              <w14:schemeClr w14:val="tx1"/>
                            </w14:solidFill>
                          </w14:textFill>
                        </w:rPr>
                      </w:pPr>
                    </w:p>
                    <w:p w14:paraId="3F7C198F">
                      <w:pPr>
                        <w:widowControl w:val="0"/>
                        <w:tabs>
                          <w:tab w:val="left" w:pos="1985"/>
                        </w:tabs>
                        <w:autoSpaceDE w:val="0"/>
                        <w:autoSpaceDN w:val="0"/>
                        <w:adjustRightInd w:val="0"/>
                        <w:ind w:right="-28" w:firstLine="0"/>
                        <w:rPr>
                          <w:rFonts w:eastAsia="Calibri"/>
                          <w:color w:val="000000" w:themeColor="text1"/>
                          <w:sz w:val="16"/>
                          <w:szCs w:val="16"/>
                          <w14:textFill>
                            <w14:solidFill>
                              <w14:schemeClr w14:val="tx1"/>
                            </w14:solidFill>
                          </w14:textFill>
                        </w:rPr>
                      </w:pPr>
                      <w:r>
                        <w:rPr>
                          <w:rFonts w:eastAsia="Calibri"/>
                          <w:color w:val="000000" w:themeColor="text1"/>
                          <w:sz w:val="16"/>
                          <w:szCs w:val="16"/>
                          <w:lang w:val="en-US"/>
                          <w14:textFill>
                            <w14:solidFill>
                              <w14:schemeClr w14:val="tx1"/>
                            </w14:solidFill>
                          </w14:textFill>
                        </w:rPr>
                        <w:t>Open access under CC-BY-NC-SA</w:t>
                      </w:r>
                    </w:p>
                    <w:p w14:paraId="4F25ED5A">
                      <w:pPr>
                        <w:widowControl w:val="0"/>
                        <w:tabs>
                          <w:tab w:val="left" w:pos="1985"/>
                        </w:tabs>
                        <w:autoSpaceDE w:val="0"/>
                        <w:autoSpaceDN w:val="0"/>
                        <w:adjustRightInd w:val="0"/>
                        <w:ind w:right="-28" w:firstLine="0"/>
                        <w:rPr>
                          <w:color w:val="000000" w:themeColor="text1"/>
                          <w:w w:val="104"/>
                          <w:sz w:val="16"/>
                          <w:szCs w:val="16"/>
                          <w14:textFill>
                            <w14:solidFill>
                              <w14:schemeClr w14:val="tx1"/>
                            </w14:solidFill>
                          </w14:textFill>
                        </w:rPr>
                      </w:pPr>
                      <w:r>
                        <w:rPr>
                          <w:color w:val="000000" w:themeColor="text1"/>
                          <w:w w:val="104"/>
                          <w:sz w:val="16"/>
                          <w:szCs w:val="16"/>
                          <w14:textFill>
                            <w14:solidFill>
                              <w14:schemeClr w14:val="tx1"/>
                            </w14:solidFill>
                          </w14:textFill>
                        </w:rPr>
                        <w:sym w:font="Symbol" w:char="F0D3"/>
                      </w:r>
                      <w:r>
                        <w:rPr>
                          <w:color w:val="000000" w:themeColor="text1"/>
                          <w:w w:val="104"/>
                          <w:sz w:val="16"/>
                          <w:szCs w:val="16"/>
                          <w14:textFill>
                            <w14:solidFill>
                              <w14:schemeClr w14:val="tx1"/>
                            </w14:solidFill>
                          </w14:textFill>
                        </w:rPr>
                        <w:t xml:space="preserve"> 202</w:t>
                      </w:r>
                      <w:r>
                        <w:rPr>
                          <w:rFonts w:hint="default"/>
                          <w:color w:val="000000" w:themeColor="text1"/>
                          <w:w w:val="104"/>
                          <w:sz w:val="16"/>
                          <w:szCs w:val="16"/>
                          <w:lang w:val="en-US"/>
                          <w14:textFill>
                            <w14:solidFill>
                              <w14:schemeClr w14:val="tx1"/>
                            </w14:solidFill>
                          </w14:textFill>
                        </w:rPr>
                        <w:t>5</w:t>
                      </w:r>
                      <w:r>
                        <w:rPr>
                          <w:color w:val="000000" w:themeColor="text1"/>
                          <w:w w:val="104"/>
                          <w:sz w:val="16"/>
                          <w:szCs w:val="16"/>
                          <w:lang w:val="en-US"/>
                          <w14:textFill>
                            <w14:solidFill>
                              <w14:schemeClr w14:val="tx1"/>
                            </w14:solidFill>
                          </w14:textFill>
                        </w:rPr>
                        <w:t xml:space="preserve"> BRIN</w:t>
                      </w:r>
                    </w:p>
                    <w:p w14:paraId="684DE2A7">
                      <w:pPr>
                        <w:widowControl w:val="0"/>
                        <w:autoSpaceDE w:val="0"/>
                        <w:autoSpaceDN w:val="0"/>
                        <w:adjustRightInd w:val="0"/>
                        <w:ind w:right="-28" w:firstLine="0"/>
                        <w:jc w:val="left"/>
                        <w:rPr>
                          <w:w w:val="104"/>
                          <w:sz w:val="16"/>
                          <w:szCs w:val="16"/>
                        </w:rPr>
                      </w:pPr>
                      <w:r>
                        <w:rPr>
                          <w:color w:val="FFFFFF"/>
                          <w:w w:val="104"/>
                          <w:sz w:val="16"/>
                          <w:szCs w:val="16"/>
                        </w:rPr>
                        <w:t>25-32</w:t>
                      </w:r>
                    </w:p>
                    <w:p w14:paraId="298E0D89"/>
                  </w:txbxContent>
                </v:textbox>
                <w10:wrap type="square"/>
              </v:shape>
            </w:pict>
          </mc:Fallback>
        </mc:AlternateContent>
      </w:r>
      <w:r>
        <w:rPr>
          <w:color w:val="000000" w:themeColor="text1"/>
          <w:lang w:val="en-US"/>
          <w14:textFill>
            <w14:solidFill>
              <w14:schemeClr w14:val="tx1"/>
            </w14:solidFill>
          </w14:textFill>
        </w:rPr>
        <w:t xml:space="preserve">Traditional charging methods, while effective, often suffer from inefficiencies that can lead to battery degradation, increased internal resistance, overheating, and safety risks. These issues are particularly critical in EV applications, where reducing charging time without compromising battery health is essential for widespread adoption. Fast charging techniques, such as the CCCV method, provide a structured approach to optimize the charging process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{"citationItems":[{"id":"ITEM-1","itemData":{"DOI":"10.1016/j.est.2022.104679","ISSN":"2352152X","abstract":"Lithium-ion batteries play an important role in the application scenarios of electric vehicles and renewable energy systems. However, it is difficult to charge these batteries safely and quickly. Charging lithium-ion batteries has been the bottleneck problem affecting the large-scale application of electric vehicles. To find a balance between safety and speed, this study proposes a multistage fast charging protocol utilizing the biogeography-based optimization (BBO) algorithm. The optimization function of the charging time and the temperature rise of lithium-ion batteries are established through the thermoelectric coupling model of lumped parameters. In the example of a five-stage charging protocol, the Pareto front is obtained using the BBO algorithm and is composed of the optimal solutions of the two objectives under different weights. Subsequently, the optimal solution that minimizes the global optimization function is obtained. Compared with the multistage constant current charging protocol, the results show that the BBO charging optimization protocol shortens the battery charging time by 19.13% whereas the maximum temperature increase remains nearly identical.","author":[{"dropping-particle":"","family":"Wu","given":"Xiaogang","non-dropping-particle":"","parse-names":false,"suffix":""},{"dropping-particle":"","family":"Zhang","given":"Kun","non-dropping-particle":"","parse-names":false,"suffix":""},{"dropping-particle":"","family":"Chen","given":"Yu","non-dropping-particle":"","parse-names":false,"suffix":""},{"dropping-particle":"","family":"Du","given":"Jiuyu","non-dropping-particle":"","parse-names":false,"suffix":""},{"dropping-particle":"","family":"Shchurov","given":"N. I.","non-dropping-particle":"","parse-names":false,"suffix":""}],"container-title":"Journal of Energy Storage","id":"ITEM-1","issue":"PA","issued":{"date-parts":[["2022"]]},"page":"104679","publisher":"Elsevier Ltd","title":"Multistage fast charging optimization protocol for lithium-ion batteries based on the biogeography-based algorithm","type":"article-journal","volume":"52"},"uris":["http://www.mendeley.com/documents/?uuid=a215e4e0-c574-4d6e-b151-6a9b3c10a4f4"]},{"id":"ITEM-2","itemData":{"DOI":"10.1016/j.est.2023.109695","ISSN":"2352152X","abstract":"The growing electric vehicle market has made extreme fast charging (XFC) a critical challenge for the lithium-ion battery community. With a goal of achieving a 15-minute recharge time or less, the research community has developed several protocols for fast charging, relying on accurate electrochemical models and mathematical optimization algorithms. However, the effectiveness of such techniques is severely limited by their high computational costs as well as the uncertainty and complexity of the mathematical algorithms used. To address these limitations, this paper proposes a model-free multistage constant current technique based on deep reinforcement learning (DRL) while ensuring battery safety and reducing the battery degradation rate with the multi-stage charging profile. The proposed technique uses a Proximal Policy Optimization (PPO) algorithm to train the DRL agent to learn a reliable control policy through interaction with the battery, aided by a comprehensive reward function. The proposed model is validated through a comparison with a 6CC-CV profile for fast charging. Furthermore, the robustness of the proposed DRL model against different electrode thicknesses and porosity is also evaluated. Simulation results demonstrate that the proposed DRL framework can charge the battery in 14 min for the thickest cathode and 6 min for the thinnest cathode while maintaining battery safety.","author":[{"dropping-particle":"El","family":"Ouazzani","given":"Hind","non-dropping-particle":"","parse-names":false,"suffix":""},{"dropping-particle":"El","family":"Hassani","given":"Ibtissam","non-dropping-particle":"","parse-names":false,"suffix":""},{"dropping-particle":"","family":"Barka","given":"Noureddine","non-dropping-particle":"","parse-names":false,"suffix":""},{"dropping-particle":"","family":"Masrour","given":"Tawfik","non-dropping-particle":"","parse-names":false,"suffix":""}],"container-title":"Journal of Energy Storage","id":"ITEM-2","issue":"May 2023","issued":{"date-parts":[["2024"]]},"page":"109695","publisher":"Elsevier Ltd","title":"MSCC-DRL: Multi-Stage constant current based on deep reinforcement learning for fast charging of lithium ion battery","type":"article-journal","volume":"75"},"uris":["http://www.mendeley.com/documents/?uuid=53f49599-5a02-44d5-b966-d3b7aee3ba64"]},{"id":"ITEM-3","itemData":{"DOI":"10.1016/j.apenergy.2024.123631","ISSN":"03062619","abstract":"Lithium plating during the fast charging process significantly decreases the health and safety of lithium-ion batteries (LIBs). Hence, detecting the onset of lithium plating is essential to realize the highly effective and low-damage fast charging. However, an online lithium plating onset detection method that can be used in constant current (CC) and multiage constant current (MCC) fast charging under different working conditions without interrupting the charging process of LIBs has not been reported yet. To fill this gap, a novel method based on dynamic impedance measurement has been proposed. The abnormal drop of dynamic impedance at 1 Hz during the charging processes was treated as a universal feature of lithium plating onset. A method based on real-time impedance feedback and a long short-term memory (LSTM) was first proposed to identify this feature. It was validated in various CC and MCC charging rates at different temperatures and battery types. With the cross-validation of the voltage relaxation method, an error of &lt;2.5% SOC in detecting the lithium plating onset was achieved. Besides, the proposed method effectively optimizes the misidentification and the time delay in detection. For practical applications, the method's accuracy and robustness were additionally validated in a rapid prototyping system. The method proposed in this paper solves the complex problem of lithium plating detection during the CC and MCC charging procedures, which is essential for improving the health and safety of LIBs under fast charging conditions.","author":[{"dropping-particle":"","family":"Shen","given":"Yudong","non-dropping-particle":"","parse-names":false,"suffix":""},{"dropping-particle":"","family":"Wang","given":"Xueyuan","non-dropping-particle":"","parse-names":false,"suffix":""},{"dropping-particle":"","family":"Jiang","given":"Zhao","non-dropping-particle":"","parse-names":false,"suffix":""},{"dropping-particle":"","family":"Luo","given":"Bingyin","non-dropping-particle":"","parse-names":false,"suffix":""},{"dropping-particle":"","family":"Chen","given":"Daidai","non-dropping-particle":"","parse-names":false,"suffix":""},{"dropping-particle":"","family":"Wei","given":"Xuezhe","non-dropping-particle":"","parse-names":false,"suffix":""},{"dropping-particle":"","family":"Dai","given":"Haifeng","non-dropping-particle":"","parse-names":false,"suffix":""}],"container-title":"Applied Energy","id":"ITEM-3","issue":"March","issued":{"date-parts":[["2024"]]},"page":"123631","publisher":"Elsevier Ltd","title":"Online detection of lithium plating onset during constant and multistage constant current fast charging for lithium-ion batteries","type":"article-journal","volume":"370"},"uris":["http://www.mendeley.com/documents/?uuid=800ae0fb-ed69-4dec-ab24-5f3df9a2e5a0"]},{"id":"ITEM-4","itemData":{"author":[{"dropping-particle":"","family":"Kaleem","given":"Ayesha","non-dropping-particle":"","parse-names":false,"suffix":""},{"dropping-particle":"","family":"Khalil","given":"Ihsan Ullah","non-dropping-particle":"","parse-names":false,"suffix":""},{"dropping-particle":"","family":"Aslam","given":"Sara","non-dropping-particle":"","parse-names":false,"suffix":""},{"dropping-particle":"","family":"Ullah","given":"Nasim","non-dropping-particle":"","parse-names":false,"suffix":""},{"dropping-particle":"Al","family":"Otaibi","given":"Sattam","non-dropping-particle":"","parse-names":false,"suffix":""}],"id":"ITEM-4","issued":{"date-parts":[["2021"]]},"title":"Feedback PID Controller-Based Closed-Loop Fast Charging of Lithium-Ion Batteries Using","type":"article-journal"},"uris":["http://www.mendeley.com/documents/?uuid=bd68a890-a64c-491e-a494-d1d836e11d3a"]}],"mendeley":{"formattedCitation":"[5]–[8]","plainTextFormattedCitation":"[5]–[8]","previouslyFormattedCitation":"[5]–[8]"},"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[5]–[8]</w:t>
      </w:r>
      <w:r>
        <w:rPr>
          <w:color w:val="000000" w:themeColor="text1"/>
          <w:lang w:val="en-US"/>
          <w14:textFill>
            <w14:solidFill>
              <w14:schemeClr w14:val="tx1"/>
            </w14:solidFill>
          </w14:textFill>
        </w:rPr>
        <w:fldChar w:fldCharType="end"/>
      </w:r>
      <w:r>
        <w:rPr>
          <w:color w:val="000000" w:themeColor="text1"/>
          <w:lang w:val="en-US"/>
          <w14:textFill>
            <w14:solidFill>
              <w14:schemeClr w14:val="tx1"/>
            </w14:solidFill>
          </w14:textFill>
        </w:rPr>
        <w:t>. However, the implementation of additional control mechanisms, such as PID controllers, is necessary to enhance efficiency, regulate thermal conditions, and prevent adverse effects such as overcharging and thermal runaway</w:t>
      </w:r>
    </w:p>
    <w:p w14:paraId="2F295A3A">
      <w:pPr>
        <w:keepNext w:val="0"/>
        <w:keepLines w:val="0"/>
        <w:pageBreakBefore w:val="0"/>
        <w:kinsoku/>
        <w:wordWrap/>
        <w:overflowPunct/>
        <w:topLinePunct w:val="0"/>
        <w:bidi w:val="0"/>
        <w:adjustRightInd/>
        <w:snapToGrid/>
        <w:ind w:firstLine="357"/>
        <w:textAlignment w:val="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The primary challenge in fast charging LIBs is balancing speed and safety while minimizing adverse effects such as overcharging, thermal runaway, and capacity degradation. The conventional CCCV charging method provides a structured approach, but additional control mechanisms are required to optimize performance and ensure stability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DOI":"10.1109/ACCESS.2024.3486989","author":[{"dropping-particle":"","family":"Haraz","given":"Aya","non-dropping-particle":"","parse-names":false,"suffix":""},{"dropping-particle":"","family":"Abualsaud","given":"Khalid","non-dropping-particle":"","parse-names":false,"suffix":""},{"dropping-particle":"","family":"Massoud","given":"Ahmed","non-dropping-particle":"","parse-names":false,"suffix":""}],"container-title":"IEEE Access","id":"ITEM-1","issue":"September","issued":{"date-parts":[["2024"]]},"page":"158110-158139","publisher":"IEEE","title":"State-of-Health and State-of-Charge Estimation in Electric Vehicles Batteries : A Survey on Machine Learning Approaches","type":"article-journal","volume":"12"},"uris":["http://www.mendeley.com/documents/?uuid=258bd609-c970-4c4b-9779-fd028d834d8b"]},{"id":"ITEM-2","itemData":{"DOI":"10.1016/j.renene.2019.08.077","ISSN":"0960-1481","author":[{"dropping-particle":"","family":"Li","given":"Yunjian","non-dropping-particle":"","parse-names":false,"suffix":""},{"dropping-particle":"","family":"Li","given":"Kuining","non-dropping-particle":"","parse-names":false,"suffix":""},{"dropping-particle":"","family":"Xie","given":"Yi","non-dropping-particle":"","parse-names":false,"suffix":""},{"dropping-particle":"","family":"Liu","given":"Jiangyan","non-dropping-particle":"","parse-names":false,"suffix":""},{"dropping-particle":"","family":"Fu","given":"Chunyun","non-dropping-particle":"","parse-names":false,"suffix":""},{"dropping-particle":"","family":"Liu","given":"Bin","non-dropping-particle":"","parse-names":false,"suffix":""}],"container-title":"Renewable Energy","id":"ITEM-2","issued":{"date-parts":[["2020"]]},"page":"2688-2699","publisher":"Elsevier Ltd","title":"Optimized charging of lithium-ion battery for electric vehicles : Adaptive multistage constant current e constant voltage charging strategy","type":"article-journal","volume":"146"},"uris":["http://www.mendeley.com/documents/?uuid=6f1f3ab7-ecde-4916-a75f-62d6381779fe"]},{"id":"ITEM-3","itemData":{"DOI":"10.1016/j.est.2022.104679","ISSN":"2352152X","abstract":"Lithium-ion batteries play an important role in the application scenarios of electric vehicles and renewable energy systems. However, it is difficult to charge these batteries safely and quickly. Charging lithium-ion batteries has been the bottleneck problem affecting the large-scale application of electric vehicles. To find a balance between safety and speed, this study proposes a multistage fast charging protocol utilizing the biogeography-based optimization (BBO) algorithm. The optimization function of the charging time and the temperature rise of lithium-ion batteries are established through the thermoelectric coupling model of lumped parameters. In the example of a five-stage charging protocol, the Pareto front is obtained using the BBO algorithm and is composed of the optimal solutions of the two objectives under different weights. Subsequently, the optimal solution that minimizes the global optimization function is obtained. Compared with the multistage constant current charging protocol, the results show that the BBO charging optimization protocol shortens the battery charging time by 19.13% whereas the maximum temperature increase remains nearly identical.","author":[{"dropping-particle":"","family":"Wu","given":"Xiaogang","non-dropping-particle":"","parse-names":false,"suffix":""},{"dropping-particle":"","family":"Zhang","given":"Kun","non-dropping-particle":"","parse-names":false,"suffix":""},{"dropping-particle":"","family":"Chen","given":"Yu","non-dropping-particle":"","parse-names":false,"suffix":""},{"dropping-particle":"","family":"Du","given":"Jiuyu","non-dropping-particle":"","parse-names":false,"suffix":""},{"dropping-particle":"","family":"Shchurov","given":"N. I.","non-dropping-particle":"","parse-names":false,"suffix":""}],"container-title":"Journal of Energy Storage","id":"ITEM-3","issue":"PA","issued":{"date-parts":[["2022"]]},"page":"104679","publisher":"Elsevier Ltd","title":"Multistage fast charging optimization protocol for lithium-ion batteries based on the biogeography-based algorithm","type":"article-journal","volume":"52"},"uris":["http://www.mendeley.com/documents/?uuid=a215e4e0-c574-4d6e-b151-6a9b3c10a4f4"]}],"mendeley":{"formattedCitation":"[5], [9], [10]","plainTextFormattedCitation":"[5], [9], [10]","previouslyFormattedCitation":"[5], [9], [10]"},"properties":{"noteIndex":0},"schema":"https://github.com/citation-style-language/schema/raw/master/csl-citation.json"}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[5], [9], [10]</w:t>
      </w:r>
      <w:r>
        <w:rPr>
          <w:color w:val="000000" w:themeColor="text1"/>
          <w:lang w:val="en-US"/>
          <w14:textFill>
            <w14:solidFill>
              <w14:schemeClr w14:val="tx1"/>
            </w14:solidFill>
          </w14:textFill>
        </w:rPr>
        <w:fldChar w:fldCharType="end"/>
      </w:r>
      <w:r>
        <w:rPr>
          <w:color w:val="000000" w:themeColor="text1"/>
          <w:lang w:val="en-US"/>
          <w14:textFill>
            <w14:solidFill>
              <w14:schemeClr w14:val="tx1"/>
            </w14:solidFill>
          </w14:textFill>
        </w:rPr>
        <w:t xml:space="preserve">. The conventional CCCV charging method provides a structured approach by initially applying a constant current until a predefined voltage is reached, followed by a constant voltage phase where the current gradually decreases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{"citationItems":[{"id":"ITEM-1","itemData":{"DOI":"10.1109/ACCESS.2024.3425950","author":[{"dropping-particle":"","family":"Yang","given":"Guangyi","non-dropping-particle":"","parse-names":false,"suffix":""}],"container-title":"IEEE Access","id":"ITEM-1","issue":"July","issued":{"date-parts":[["2024"]]},"page":"95831-95845","publisher":"IEEE","title":"State of Charge Estimation of Lithium-Ion Battery for Underwater Vehicles Using MM-UKF Under Hierarchical Temperature Compensation","type":"article-journal","volume":"12"},"uris":["http://www.mendeley.com/documents/?uuid=811df794-79dd-488b-8314-520cdb82b85f"]}],"mendeley":{"formattedCitation":"[11]","plainTextFormattedCitation":"[11]","previouslyFormattedCitation":"[11]"},"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[11]</w:t>
      </w:r>
      <w:r>
        <w:rPr>
          <w:color w:val="000000" w:themeColor="text1"/>
          <w:lang w:val="en-US"/>
          <w14:textFill>
            <w14:solidFill>
              <w14:schemeClr w14:val="tx1"/>
            </w14:solidFill>
          </w14:textFill>
        </w:rPr>
        <w:fldChar w:fldCharType="end"/>
      </w:r>
      <w:r>
        <w:rPr>
          <w:color w:val="000000" w:themeColor="text1"/>
          <w:lang w:val="en-US"/>
          <w14:textFill>
            <w14:solidFill>
              <w14:schemeClr w14:val="tx1"/>
            </w14:solidFill>
          </w14:textFill>
        </w:rPr>
        <w:t>. However, without proper feedback control, this method may not optimize efficiency and battery longevity. Additional control mechanisms, such as a PID controller, are required to dynamically adjust charging parameters based on real-time battery conditions, ensuring stability and optimal performance.</w:t>
      </w:r>
    </w:p>
    <w:p w14:paraId="46F4D284">
      <w:pPr>
        <w:keepNext w:val="0"/>
        <w:keepLines w:val="0"/>
        <w:pageBreakBefore w:val="0"/>
        <w:kinsoku/>
        <w:wordWrap/>
        <w:overflowPunct/>
        <w:topLinePunct w:val="0"/>
        <w:bidi w:val="0"/>
        <w:adjustRightInd/>
        <w:snapToGrid/>
        <w:ind w:firstLine="357"/>
        <w:textAlignment w:val="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Several recent studies have focused on improving lithium-ion battery charging using control-based strategies. PID controllers, in particular, have shown potential in achieving fast and safe charging through feedback mechanisms. For instance, Kaleem et al.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{"citationItems":[{"id":"ITEM-1","itemData":{"author":[{"dropping-particle":"","family":"Kaleem","given":"Ayesha","non-dropping-particle":"","parse-names":false,"suffix":""},{"dropping-particle":"","family":"Khalil","given":"Ihsan Ullah","non-dropping-particle":"","parse-names":false,"suffix":""},{"dropping-particle":"","family":"Aslam","given":"Sara","non-dropping-particle":"","parse-names":false,"suffix":""},{"dropping-particle":"","family":"Ullah","given":"Nasim","non-dropping-particle":"","parse-names":false,"suffix":""},{"dropping-particle":"Al","family":"Otaibi","given":"Sattam","non-dropping-particle":"","parse-names":false,"suffix":""}],"id":"ITEM-1","issued":{"date-parts":[["2021"]]},"title":"Feedback PID Controller-Based Closed-Loop Fast Charging of Lithium-Ion Batteries Using","type":"article-journal"},"uris":["http://www.mendeley.com/documents/?uuid=bd68a890-a64c-491e-a494-d1d836e11d3a"]}],"mendeley":{"formattedCitation":"[8]","plainTextFormattedCitation":"[8]","previouslyFormattedCitation":"[8]"},"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[8]</w:t>
      </w:r>
      <w:r>
        <w:rPr>
          <w:color w:val="000000" w:themeColor="text1"/>
          <w:lang w:val="en-US"/>
          <w14:textFill>
            <w14:solidFill>
              <w14:schemeClr w14:val="tx1"/>
            </w14:solidFill>
          </w14:textFill>
        </w:rPr>
        <w:fldChar w:fldCharType="end"/>
      </w:r>
      <w:r>
        <w:rPr>
          <w:color w:val="000000" w:themeColor="text1"/>
          <w:lang w:val="en-US"/>
          <w14:textFill>
            <w14:solidFill>
              <w14:schemeClr w14:val="tx1"/>
            </w14:solidFill>
          </w14:textFill>
        </w:rPr>
        <w:t xml:space="preserve"> developed a closed-loop PID-controlled fast charger and demonstrated improvements in current regulation. Wang et al.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ISSN":"2199-4536","author":[{"dropping-particle":"","family":"Wang","given":"Xiuzhuo","non-dropping-particle":"","parse-names":false,"suffix":""},{"dropping-particle":"","family":"Tang","given":"Yanfeng","non-dropping-particle":"","parse-names":false,"suffix":""},{"dropping-particle":"","family":"Li","given":"Zeyao","non-dropping-particle":"","parse-names":false,"suffix":""},{"dropping-particle":"","family":"Xu","given":"Chunsheng","non-dropping-particle":"","parse-names":false,"suffix":""}],"container-title":"Complex &amp; Intelligent Systems","id":"ITEM-1","issue":"5","issued":{"date-parts":[["2024"]]},"page":"6421-6433","publisher":"Springer","title":"Research on charging strategy based on improved particle swarm optimization PID algorithm","type":"article-journal","volume":"10"},"uris":["http://www.mendeley.com/documents/?uuid=4f6f60cf-7b0f-45d6-ab94-8a951f4cfbb0"]}],"mendeley":{"formattedCitation":"[12]","plainTextFormattedCitation":"[12]","previouslyFormattedCitation":"[12]"},"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[12]</w:t>
      </w:r>
      <w:r>
        <w:rPr>
          <w:color w:val="000000" w:themeColor="text1"/>
          <w:lang w:val="en-US"/>
          <w14:textFill>
            <w14:solidFill>
              <w14:schemeClr w14:val="tx1"/>
            </w14:solidFill>
          </w14:textFill>
        </w:rPr>
        <w:fldChar w:fldCharType="end"/>
      </w:r>
      <w:r>
        <w:rPr>
          <w:color w:val="000000" w:themeColor="text1"/>
          <w:lang w:val="en-US"/>
          <w14:textFill>
            <w14:solidFill>
              <w14:schemeClr w14:val="tx1"/>
            </w14:solidFill>
          </w14:textFill>
        </w:rPr>
        <w:t xml:space="preserve"> implemented an optimization-enhanced PID approach using particle swarm optimization (PSO) for lithium-ion batteries, achieving better response and efficiency. In addition, relevant research from the Journal of Electronics and Telecommunications supports the integration of PID and embedded control systems in battery applications. For example, Rospawan and Simatupang [13] developed a microcontroller-based battery balancing system for electric vehicles, while Irawan et al. [14] implemented a smart power bank with battery monitoring and protection. These studies highlight the importance of intelligent control and real-time feedback, which underpin the proposed PID-based fast charging method in this work. </w:t>
      </w:r>
    </w:p>
    <w:p w14:paraId="485CEFD4">
      <w:pPr>
        <w:rPr>
          <w:color w:val="000000" w:themeColor="text1"/>
          <w:lang w:val="en-US"/>
          <w14:textFill>
            <w14:solidFill>
              <w14:schemeClr w14:val="tx1"/>
            </w14:solidFill>
          </w14:textFill>
        </w:rPr>
      </w:pPr>
      <w:r>
        <w:rPr>
          <w:color w:val="000000" w:themeColor="text1"/>
          <w:lang w:val="en-US"/>
          <w14:textFill>
            <w14:solidFill>
              <w14:schemeClr w14:val="tx1"/>
            </w14:solidFill>
          </w14:textFill>
        </w:rPr>
        <w:t>This paper aims to develop a PID controller-based closed-loop fast charging system using the CCCV method to: improve charging efficiency while maintaining battery safety; Regulate temperature and voltage fluctuations during the charging process; Minimize capacity loss and extend battery lifespan. The key contributions of this research include: Design and implementation of a closed-loop PID controller for CCCV-based charging; Analysis of current and voltage regulation under different charging conditions; Experimental validation of the proposed system against conventional charging methods.</w:t>
      </w:r>
    </w:p>
    <w:p w14:paraId="58F8F9A6">
      <w:pPr>
        <w:pStyle w:val="2"/>
        <w:rPr>
          <w:color w:val="000000" w:themeColor="text1"/>
          <w14:textFill>
            <w14:solidFill>
              <w14:schemeClr w14:val="tx1"/>
            </w14:solidFill>
          </w14:textFill>
        </w:rPr>
      </w:pPr>
      <w:r>
        <w:rPr>
          <w:color w:val="000000" w:themeColor="text1"/>
          <w14:textFill>
            <w14:solidFill>
              <w14:schemeClr w14:val="tx1"/>
            </w14:solidFill>
          </w14:textFill>
        </w:rPr>
        <w:t>LITERATURE REVIEW</w:t>
      </w:r>
      <w:r>
        <w:rPr>
          <w:color w:val="000000" w:themeColor="text1"/>
          <w:lang w:val="en-US"/>
          <w14:textFill>
            <w14:solidFill>
              <w14:schemeClr w14:val="tx1"/>
            </w14:solidFill>
          </w14:textFill>
        </w:rPr>
        <w:t xml:space="preserve"> </w:t>
      </w:r>
    </w:p>
    <w:p w14:paraId="06E0EB85">
      <w:pPr>
        <w:pStyle w:val="3"/>
        <w:rPr>
          <w:color w:val="000000" w:themeColor="text1"/>
          <w14:textFill>
            <w14:solidFill>
              <w14:schemeClr w14:val="tx1"/>
            </w14:solidFill>
          </w14:textFill>
        </w:rPr>
      </w:pPr>
      <w:r>
        <w:rPr>
          <w:color w:val="000000" w:themeColor="text1"/>
          <w14:textFill>
            <w14:solidFill>
              <w14:schemeClr w14:val="tx1"/>
            </w14:solidFill>
          </w14:textFill>
        </w:rPr>
        <w:t>Lithium-Ion Battery Charging Methods</w:t>
      </w:r>
      <w:r>
        <w:rPr>
          <w:color w:val="000000" w:themeColor="text1"/>
          <w:lang w:val="en-US"/>
          <w14:textFill>
            <w14:solidFill>
              <w14:schemeClr w14:val="tx1"/>
            </w14:solidFill>
          </w14:textFill>
        </w:rPr>
        <w:t xml:space="preserve"> </w:t>
      </w:r>
    </w:p>
    <w:p w14:paraId="55BF6B33">
      <w:pPr>
        <w:rPr>
          <w:color w:val="000000" w:themeColor="text1"/>
          <w:lang w:val="en-US"/>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3061970</wp:posOffset>
                </wp:positionH>
                <wp:positionV relativeFrom="paragraph">
                  <wp:posOffset>-3926205</wp:posOffset>
                </wp:positionV>
                <wp:extent cx="2903855" cy="2175510"/>
                <wp:effectExtent l="0" t="0" r="0" b="0"/>
                <wp:wrapTopAndBottom/>
                <wp:docPr id="8" name="Rectangles 8"/>
                <wp:cNvGraphicFramePr/>
                <a:graphic xmlns:a="http://schemas.openxmlformats.org/drawingml/2006/main">
                  <a:graphicData uri="http://schemas.microsoft.com/office/word/2010/wordprocessingShape">
                    <wps:wsp>
                      <wps:cNvSpPr/>
                      <wps:spPr>
                        <a:xfrm>
                          <a:off x="3962400" y="811530"/>
                          <a:ext cx="2903855" cy="2175510"/>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5AC386A9">
                            <w:pPr>
                              <w:ind w:firstLine="0"/>
                              <w:jc w:val="center"/>
                              <w:rPr>
                                <w:color w:val="000000" w:themeColor="text1"/>
                                <w:sz w:val="18"/>
                                <w:szCs w:val="18"/>
                                <w:lang w:val="en-US"/>
                                <w14:textFill>
                                  <w14:solidFill>
                                    <w14:schemeClr w14:val="tx1"/>
                                  </w14:solidFill>
                                </w14:textFill>
                              </w:rPr>
                            </w:pPr>
                            <w:r>
                              <w:rPr>
                                <w:sz w:val="18"/>
                                <w:szCs w:val="18"/>
                              </w:rPr>
                              <w:drawing>
                                <wp:inline distT="0" distB="0" distL="0" distR="0">
                                  <wp:extent cx="2695575" cy="1884045"/>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24473" cy="1904647"/>
                                          </a:xfrm>
                                          <a:prstGeom prst="rect">
                                            <a:avLst/>
                                          </a:prstGeom>
                                          <a:noFill/>
                                          <a:ln>
                                            <a:noFill/>
                                          </a:ln>
                                        </pic:spPr>
                                      </pic:pic>
                                    </a:graphicData>
                                  </a:graphic>
                                </wp:inline>
                              </w:drawing>
                            </w:r>
                          </w:p>
                          <w:p w14:paraId="2EEBBB0E">
                            <w:pPr>
                              <w:ind w:firstLine="0"/>
                              <w:jc w:val="center"/>
                              <w:rPr>
                                <w:color w:val="000000" w:themeColor="text1"/>
                                <w:sz w:val="18"/>
                                <w:szCs w:val="18"/>
                                <w:lang w:val="en-US"/>
                                <w14:textFill>
                                  <w14:solidFill>
                                    <w14:schemeClr w14:val="tx1"/>
                                  </w14:solidFill>
                                </w14:textFill>
                              </w:rPr>
                            </w:pPr>
                            <w:r>
                              <w:rPr>
                                <w:color w:val="000000" w:themeColor="text1"/>
                                <w:sz w:val="18"/>
                                <w:szCs w:val="18"/>
                                <w14:textFill>
                                  <w14:solidFill>
                                    <w14:schemeClr w14:val="tx1"/>
                                  </w14:solidFill>
                                </w14:textFill>
                              </w:rPr>
                              <w:t xml:space="preserve">Figure 1. Standard CCCV </w:t>
                            </w:r>
                            <w:r>
                              <w:rPr>
                                <w:rFonts w:hint="default"/>
                                <w:color w:val="000000" w:themeColor="text1"/>
                                <w:sz w:val="18"/>
                                <w:szCs w:val="18"/>
                                <w:lang w:val="en-US"/>
                                <w14:textFill>
                                  <w14:solidFill>
                                    <w14:schemeClr w14:val="tx1"/>
                                  </w14:solidFill>
                                </w14:textFill>
                              </w:rPr>
                              <w:t>M</w:t>
                            </w:r>
                            <w:r>
                              <w:rPr>
                                <w:color w:val="000000" w:themeColor="text1"/>
                                <w:sz w:val="18"/>
                                <w:szCs w:val="18"/>
                                <w14:textFill>
                                  <w14:solidFill>
                                    <w14:schemeClr w14:val="tx1"/>
                                  </w14:solidFill>
                                </w14:textFill>
                              </w:rPr>
                              <w:t>ethod</w:t>
                            </w:r>
                            <w:r>
                              <w:rPr>
                                <w:color w:val="000000" w:themeColor="text1"/>
                                <w:sz w:val="18"/>
                                <w:szCs w:val="18"/>
                                <w:lang w:val="en-US"/>
                                <w14:textFill>
                                  <w14:solidFill>
                                    <w14:schemeClr w14:val="tx1"/>
                                  </w14:solidFill>
                                </w14:textFill>
                              </w:rPr>
                              <w:t xml:space="preserve"> </w:t>
                            </w:r>
                          </w:p>
                          <w:p w14:paraId="05F6926F">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1pt;margin-top:-309.15pt;height:171.3pt;width:228.65pt;mso-wrap-distance-bottom:0pt;mso-wrap-distance-top:0pt;z-index:251663360;v-text-anchor:middle;mso-width-relative:page;mso-height-relative:page;" filled="f" stroked="f" coordsize="21600,21600" o:gfxdata="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L8oxFdwAAAANAQAADwAA&#10;AAAAAAABACAAAAAiAAAAZHJzL2Rvd25yZXYueG1sUEsBAhQAFAAAAAgAh07iQHQHV3u9AgAAjgUA&#10;AA4AAAAAAAAAAQAgAAAAKwEAAGRycy9lMm9Eb2MueG1sUEsFBgAAAAAGAAYAWQEAAFoGAAAAAA==&#10;">
                <v:fill on="f" focussize="0,0"/>
                <v:stroke on="f" weight="2pt"/>
                <v:imagedata o:title=""/>
                <o:lock v:ext="edit" aspectratio="f"/>
                <v:textbox>
                  <w:txbxContent>
                    <w:p w14:paraId="5AC386A9">
                      <w:pPr>
                        <w:ind w:firstLine="0"/>
                        <w:jc w:val="center"/>
                        <w:rPr>
                          <w:color w:val="000000" w:themeColor="text1"/>
                          <w:sz w:val="18"/>
                          <w:szCs w:val="18"/>
                          <w:lang w:val="en-US"/>
                          <w14:textFill>
                            <w14:solidFill>
                              <w14:schemeClr w14:val="tx1"/>
                            </w14:solidFill>
                          </w14:textFill>
                        </w:rPr>
                      </w:pPr>
                      <w:r>
                        <w:rPr>
                          <w:sz w:val="18"/>
                          <w:szCs w:val="18"/>
                        </w:rPr>
                        <w:drawing>
                          <wp:inline distT="0" distB="0" distL="0" distR="0">
                            <wp:extent cx="2695575" cy="1884045"/>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24473" cy="1904647"/>
                                    </a:xfrm>
                                    <a:prstGeom prst="rect">
                                      <a:avLst/>
                                    </a:prstGeom>
                                    <a:noFill/>
                                    <a:ln>
                                      <a:noFill/>
                                    </a:ln>
                                  </pic:spPr>
                                </pic:pic>
                              </a:graphicData>
                            </a:graphic>
                          </wp:inline>
                        </w:drawing>
                      </w:r>
                    </w:p>
                    <w:p w14:paraId="2EEBBB0E">
                      <w:pPr>
                        <w:ind w:firstLine="0"/>
                        <w:jc w:val="center"/>
                        <w:rPr>
                          <w:color w:val="000000" w:themeColor="text1"/>
                          <w:sz w:val="18"/>
                          <w:szCs w:val="18"/>
                          <w:lang w:val="en-US"/>
                          <w14:textFill>
                            <w14:solidFill>
                              <w14:schemeClr w14:val="tx1"/>
                            </w14:solidFill>
                          </w14:textFill>
                        </w:rPr>
                      </w:pPr>
                      <w:r>
                        <w:rPr>
                          <w:color w:val="000000" w:themeColor="text1"/>
                          <w:sz w:val="18"/>
                          <w:szCs w:val="18"/>
                          <w14:textFill>
                            <w14:solidFill>
                              <w14:schemeClr w14:val="tx1"/>
                            </w14:solidFill>
                          </w14:textFill>
                        </w:rPr>
                        <w:t xml:space="preserve">Figure 1. Standard CCCV </w:t>
                      </w:r>
                      <w:r>
                        <w:rPr>
                          <w:rFonts w:hint="default"/>
                          <w:color w:val="000000" w:themeColor="text1"/>
                          <w:sz w:val="18"/>
                          <w:szCs w:val="18"/>
                          <w:lang w:val="en-US"/>
                          <w14:textFill>
                            <w14:solidFill>
                              <w14:schemeClr w14:val="tx1"/>
                            </w14:solidFill>
                          </w14:textFill>
                        </w:rPr>
                        <w:t>M</w:t>
                      </w:r>
                      <w:r>
                        <w:rPr>
                          <w:color w:val="000000" w:themeColor="text1"/>
                          <w:sz w:val="18"/>
                          <w:szCs w:val="18"/>
                          <w14:textFill>
                            <w14:solidFill>
                              <w14:schemeClr w14:val="tx1"/>
                            </w14:solidFill>
                          </w14:textFill>
                        </w:rPr>
                        <w:t>ethod</w:t>
                      </w:r>
                      <w:r>
                        <w:rPr>
                          <w:color w:val="000000" w:themeColor="text1"/>
                          <w:sz w:val="18"/>
                          <w:szCs w:val="18"/>
                          <w:lang w:val="en-US"/>
                          <w14:textFill>
                            <w14:solidFill>
                              <w14:schemeClr w14:val="tx1"/>
                            </w14:solidFill>
                          </w14:textFill>
                        </w:rPr>
                        <w:t xml:space="preserve"> </w:t>
                      </w:r>
                    </w:p>
                    <w:p w14:paraId="05F6926F">
                      <w:pPr>
                        <w:jc w:val="center"/>
                        <w:rPr>
                          <w:sz w:val="18"/>
                          <w:szCs w:val="18"/>
                        </w:rPr>
                      </w:pPr>
                    </w:p>
                  </w:txbxContent>
                </v:textbox>
                <w10:wrap type="topAndBottom"/>
              </v:rect>
            </w:pict>
          </mc:Fallback>
        </mc:AlternateContent>
      </w:r>
      <w:r>
        <w:rPr>
          <w:color w:val="000000" w:themeColor="text1"/>
          <w:lang w:val="en-US"/>
          <w14:textFill>
            <w14:solidFill>
              <w14:schemeClr w14:val="tx1"/>
            </w14:solidFill>
          </w14:textFill>
        </w:rPr>
        <w:t xml:space="preserve">Several charging techniques have been explored for lithium-ion batteries (Lithium-Ion Batteries or LIBs), along with the increasing need for battery efficiency, safety, and longevity. These techniques are designed to optimize the charging process to match the chemical and physical characteristics of lithium-ion batteries, as well as to avoid conditions that could lead to battery degradation or even failure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DOI":"10.1016/j.renene.2019.08.077","ISSN":"09601481","author":[{"dropping-particle":"","family":"Li","given":"Yunjian","non-dropping-particle":"","parse-names":false,"suffix":""},{"dropping-particle":"","family":"Li","given":"Kuining","non-dropping-particle":"","parse-names":false,"suffix":""},{"dropping-particle":"","family":"Xie","given":"Yi","non-dropping-particle":"","parse-names":false,"suffix":""},{"dropping-particle":"","family":"Liu","given":"Jiangyan","non-dropping-particle":"","parse-names":false,"suffix":""},{"dropping-particle":"","family":"Fu","given":"Chunyun","non-dropping-particle":"","parse-names":false,"suffix":""},{"dropping-particle":"","family":"Liu","given":"Bin","non-dropping-particle":"","parse-names":false,"suffix":""}],"container-title":"Renewable Energy","id":"ITEM-1","issued":{"date-parts":[["2020","2"]]},"page":"2688-2699","publisher":"Elsevier","title":"Optimized charging of lithium-ion battery for electric vehicles: Adaptive multistage constant current–constant voltage charging strategy","type":"article-journal","volume":"146"},"uris":["http://www.mendeley.com/documents/?uuid=87eb709c-db2f-40d5-b55a-8e1acac963e9"]},{"id":"ITEM-2","itemData":{"DOI":"10.1016/j.jechem.2023.05.023","ISSN":"20954956","abstract":"To reduce the carbon footprint in the transportation sector and improve overall vehicle efficiency, a large number of electric vehicles are being manufactured. This is due to the fact that environmental concerns and the depletion of fossil fuels have become significant global problems. Lithium-ion batteries (LIBs) have been distinguished themselves from alternative energy storage technologies for electric vehicles (EVs) due to superior qualities like high energy and power density, extended cycle life, and low maintenance cost to a competitive price. However, there are still certain challenges to be solved, like EV fast charging, longer lifetime, and reduced weight. For fast charging, the multi-stage constant current (MSCC) charging technique is an emerging solution to improve charging efficiency, reduce temperature rise during charging, increase charging/discharging capacities, shorten charging time, and extend the cycle life. However, there are large variations in the implementation of the number of stages, stage transition criterion, and C-rate selection for each stage. This paper provides a review of these problems by compiling information from the literature. An overview of the impact of different design parameters (number of stages, stage transition, and C-rate) that the MSCC charging techniques have had on the LIB performance and cycle life is described in detail and analyzed. The impact of design parameters on lifetime, charging efficiency, charging and discharging capacity, charging speed, and rising temperature during charging is presented, and this review provides guidelines for designing advanced fast charging strategies and determining future research gaps.","author":[{"dropping-particle":"","family":"Usman Tahir","given":"Muhammad","non-dropping-particle":"","parse-names":false,"suffix":""},{"dropping-particle":"","family":"Sangwongwanich","given":"Ariya","non-dropping-particle":"","parse-names":false,"suffix":""},{"dropping-particle":"","family":"Stroe","given":"Daniel Ioan","non-dropping-particle":"","parse-names":false,"suffix":""},{"dropping-particle":"","family":"Blaabjerg","given":"Frede","non-dropping-particle":"","parse-names":false,"suffix":""}],"container-title":"Journal of Energy Chemistry","id":"ITEM-2","issued":{"date-parts":[["2023"]]},"page":"228-241","publisher":"Science Press and Dalian Institute of Chemical Physics, Chinese Academy of Sciences","title":"Overview of multi-stage charging strategies for Li-ion batteries","type":"article-journal","volume":"84"},"uris":["http://www.mendeley.com/documents/?uuid=ad8c7e72-e75d-484c-97b5-aa7233592810"]},{"id":"ITEM-3","itemData":{"DOI":"10.1109/TIV.2022.3161301","author":[{"dropping-particle":"","family":"Lipu","given":"M S Hossain","non-dropping-particle":"","parse-names":false,"suffix":""},{"dropping-particle":"","family":"Hannan","given":"M A","non-dropping-particle":"","parse-names":false,"suffix":""},{"dropping-particle":"","family":"Member","given":"Senior","non-dropping-particle":"","parse-names":false,"suffix":""},{"dropping-particle":"","family":"Hussain","given":"Aini","non-dropping-particle":"","parse-names":false,"suffix":""},{"dropping-particle":"","family":"Ansari","given":"Shaheer","non-dropping-particle":"","parse-names":false,"suffix":""},{"dropping-particle":"","family":"Rahman","given":"S A","non-dropping-particle":"","parse-names":false,"suffix":""},{"dropping-particle":"","family":"Saad","given":"Mohamad H M","non-dropping-particle":"","parse-names":false,"suffix":""},{"dropping-particle":"","family":"Muttaqi","given":"K M","non-dropping-particle":"","parse-names":false,"suffix":""},{"dropping-particle":"","family":"Member","given":"Senior","non-dropping-particle":"","parse-names":false,"suffix":""}],"container-title":"IEEE Transactions on Intelligent Vehicles","id":"ITEM-3","issue":"1","issued":{"date-parts":[["2023"]]},"page":"639-648","publisher":"IEEE","title":"Real-Time State of Charge Estimation of Lithium-Ion Batteries Using Optimized Random Forest Regression Algorithm","type":"article-journal","volume":"8"},"uris":["http://www.mendeley.com/documents/?uuid=407af5a6-9596-48e0-ad83-7571e8d98bdf"]},{"id":"ITEM-4","itemData":{"DOI":"10.3390/en13010090","ISSN":"19961073","abstract":"To reduce the dependence on oil and environmental pollution, the development of electric vehicles has been accelerated in many countries. The implementation of EVs, especially battery electric vehicles, is considered a solution to the energy crisis and environmental issues. This paper provides a comprehensive review of the technical development of EVs and emerging technologies for their future application. Key technologies regarding batteries, charging technology, electric motors and control, and charging infrastructure of EVs are summarized. This paper also highlights the technical challenges and emerging technologies for the improvement of efficiency, reliability, and safety of EVs in the coming stages as another contribution.","author":[{"dropping-particle":"","family":"Sun","given":"Xiaoli","non-dropping-particle":"","parse-names":false,"suffix":""},{"dropping-particle":"","family":"Li","given":"Zhengguo","non-dropping-particle":"","parse-names":false,"suffix":""},{"dropping-particle":"","family":"Wang","given":"Xiaolin","non-dropping-particle":"","parse-names":false,"suffix":""},{"dropping-particle":"","family":"Li","given":"Chengjiang","non-dropping-particle":"","parse-names":false,"suffix":""}],"container-title":"Energies","id":"ITEM-4","issue":"1","issued":{"date-parts":[["2019"]]},"page":"1-29","title":"Technology development of electric vehicles: A review","type":"article-journal","volume":"13"},"uris":["http://www.mendeley.com/documents/?uuid=a6af34dc-96a6-408a-ab6e-393554342f20"]}],"mendeley":{"formattedCitation":"[1], [15]–[17]","plainTextFormattedCitation":"[1], [15]–[17]","previouslyFormattedCitation":"[1], [14]–[16]"},"properties":{"noteIndex":0},"schema":"https://github.com/citation-style-language/schema/raw/master/csl-citation.json"}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[1], [15]–[17]</w:t>
      </w:r>
      <w:r>
        <w:rPr>
          <w:color w:val="000000" w:themeColor="text1"/>
          <w14:textFill>
            <w14:solidFill>
              <w14:schemeClr w14:val="tx1"/>
            </w14:solidFill>
          </w14:textFill>
        </w:rPr>
        <w:fldChar w:fldCharType="end"/>
      </w:r>
      <w:r>
        <w:rPr>
          <w:color w:val="000000" w:themeColor="text1"/>
          <w:lang w:val="en-US"/>
          <w14:textFill>
            <w14:solidFill>
              <w14:schemeClr w14:val="tx1"/>
            </w14:solidFill>
          </w14:textFill>
        </w:rPr>
        <w:t xml:space="preserve">. One of the most commonly used methods is the Constant Current (CC) technique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{"citationItems":[{"id":"ITEM-1","itemData":{"DOI":"10.11591/ijaas.v13.i3.pp591-599","ISSN":"2722-2594","abstract":"The role of electric vehicles (EVs) is very important in the coming years because of their environmental friendliness and ability to absorb excess electricity from renewable energy sources (RES). Charging EVs will have an immediate negative impact on the power grid. EV smart charging provides a solution to these problems. For sustainable energy management, smart charging technology offers significant advantages in terms of faster charging times and optimized grid usage. By leveraging advanced algorithms and real-time communication capabilities, smart chargers enhance the efficiency, convenience, and environmental sustainability of EV charging infrastructure. Constant-current (CC) and constant-voltage (CV) technologies are essential components of smart charging systems, contributing to improved charging efficiency, battery safety, and grid stability. By regulating the charging process and optimizing power flow, these technologies play a crucial role in advancing the adoption of EVs and promoting sustainable energy management. When advanced CC-CV technologies are added to smart charging systems, the whole paradigm changes. Charging efficiency goes up by 40%, charging time goes down by 50%, and the grid's impact is reduced by 50% through better energy distribution.","author":[{"dropping-particle":"","family":"Sutikno","given":"Tole","non-dropping-particle":"","parse-names":false,"suffix":""},{"dropping-particle":"","family":"Wahono","given":"Tri","non-dropping-particle":"","parse-names":false,"suffix":""},{"dropping-particle":"","family":"Ardiansyah","given":"Ardiansyah","non-dropping-particle":"","parse-names":false,"suffix":""}],"container-title":"International Journal of Advances in Applied Sciences","id":"ITEM-1","issue":"3","issued":{"date-parts":[["2024","9","1"]]},"page":"591","title":"A study of smart charging for electric vehicles using constant-current and constant-voltage technology","type":"article-journal","volume":"13"},"uris":["http://www.mendeley.com/documents/?uuid=61b9c472-890a-4d70-8a84-1eede33e1ca3"]}],"mendeley":{"formattedCitation":"[2]","plainTextFormattedCitation":"[2]","previouslyFormattedCitation":"[2]"},"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lang w:val="en-US"/>
          <w14:textFill>
            <w14:solidFill>
              <w14:schemeClr w14:val="tx1"/>
            </w14:solidFill>
          </w14:textFill>
        </w:rPr>
        <w:t xml:space="preserve">. In this method, the battery is charged using a predetermined fixed current. Charging takes place at a constant rate until the battery voltage reaches a certain threshold, usually close to the maximum voltage allowed for that type of battery. This technique is relatively simple and efficient in the early stages of charging, as it allows for rapid transfer of energy into the battery. Once the maximum voltage is reached, the charging process is usually continued with the Constant Voltage (CV) method. At this stage, the voltage is kept constant while the charging current gradually decreases. The drop in current occurs naturally because the potential difference between the power source and the battery gets smaller over time. The CV stage aims to slowly and safely charge the remaining battery capacity while reducing the risk of overcharging that can damage the internal structure of the battery. The combination of CC and CV techniques is often used in modern filling systems to ensure a fast, yet safe, and efficient filling process. This approach not only extends the battery life but also helps maintain optimal performance throughout its lifecycle. </w:t>
      </w:r>
      <w:r>
        <w:rPr>
          <w:color w:val="000000" w:themeColor="text1"/>
          <w:lang w:val="en-US"/>
          <w14:textFill>
            <w14:solidFill>
              <w14:schemeClr w14:val="tx1"/>
            </w14:solidFill>
          </w14:textFill>
        </w:rPr>
        <w:t>Figure 1 illustrates the standard CCCV charging profile commonly used for lithium-ion batteries. The charging process begins with a C) phase, where the battery is charged with a fixed current until it reaches the maximum voltage threshold. Once this voltage is achieved, the charger transitions to the CV phase, where the voltage is held steady, and the current gradually decreases. This two-stage process helps ensure fast initial charging while protecting the battery from overvoltage damage in the later stage. The figure visually represents this transition and the typical behavior of current and voltage over time</w:t>
      </w:r>
      <w:r>
        <w:rPr>
          <w:color w:val="000000" w:themeColor="text1"/>
          <w:lang w:val="en-US"/>
          <w14:textFill>
            <w14:solidFill>
              <w14:schemeClr w14:val="tx1"/>
            </w14:solidFill>
          </w14:textFill>
        </w:rPr>
        <w:t xml:space="preserve">. Research is constantly being conducted to refine these techniques and develop new methods that are more adaptive to the specific conditions and needs of battery users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DOI":"10.1016/j.renene.2019.08.077","ISSN":"0960-1481","author":[{"dropping-particle":"","family":"Li","given":"Yunjian","non-dropping-particle":"","parse-names":false,"suffix":""},{"dropping-particle":"","family":"Li","given":"Kuining","non-dropping-particle":"","parse-names":false,"suffix":""},{"dropping-particle":"","family":"Xie","given":"Yi","non-dropping-particle":"","parse-names":false,"suffix":""},{"dropping-particle":"","family":"Liu","given":"Jiangyan","non-dropping-particle":"","parse-names":false,"suffix":""},{"dropping-particle":"","family":"Fu","given":"Chunyun","non-dropping-particle":"","parse-names":false,"suffix":""},{"dropping-particle":"","family":"Liu","given":"Bin","non-dropping-particle":"","parse-names":false,"suffix":""}],"container-title":"Renewable Energy","id":"ITEM-1","issued":{"date-parts":[["2020"]]},"page":"2688-2699","publisher":"Elsevier Ltd","title":"Optimized charging of lithium-ion battery for electric vehicles : Adaptive multistage constant current e constant voltage charging strategy","type":"article-journal","volume":"146"},"uris":["http://www.mendeley.com/documents/?uuid=6f1f3ab7-ecde-4916-a75f-62d6381779fe"]}],"mendeley":{"formattedCitation":"[10]","plainTextFormattedCitation":"[10]","previouslyFormattedCitation":"[10]"},"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[10]</w:t>
      </w:r>
      <w:r>
        <w:rPr>
          <w:color w:val="000000" w:themeColor="text1"/>
          <w14:textFill>
            <w14:solidFill>
              <w14:schemeClr w14:val="tx1"/>
            </w14:solidFill>
          </w14:textFill>
        </w:rPr>
        <w:fldChar w:fldCharType="end"/>
      </w:r>
      <w:r>
        <w:rPr>
          <w:color w:val="000000" w:themeColor="text1"/>
          <w:lang w:val="en-US"/>
          <w14:textFill>
            <w14:solidFill>
              <w14:schemeClr w14:val="tx1"/>
            </w14:solidFill>
          </w14:textFill>
        </w:rPr>
        <w:t>.</w:t>
      </w:r>
    </w:p>
    <w:p w14:paraId="14A4B8B5">
      <w:pPr>
        <w:pStyle w:val="3"/>
        <w:rPr>
          <w:color w:val="000000" w:themeColor="text1"/>
          <w14:textFill>
            <w14:solidFill>
              <w14:schemeClr w14:val="tx1"/>
            </w14:solidFill>
          </w14:textFill>
        </w:rPr>
      </w:pPr>
      <w:r>
        <w:rPr>
          <w:color w:val="000000" w:themeColor="text1"/>
          <w14:textFill>
            <w14:solidFill>
              <w14:schemeClr w14:val="tx1"/>
            </w14:solidFill>
          </w14:textFill>
        </w:rPr>
        <w:t xml:space="preserve">Control Strategy in Battery Charging </w:t>
      </w:r>
    </w:p>
    <w:p w14:paraId="5897DC0D">
      <w:pPr>
        <w:rPr>
          <w:color w:val="000000" w:themeColor="text1"/>
          <w14:textFill>
            <w14:solidFill>
              <w14:schemeClr w14:val="tx1"/>
            </w14:solidFill>
          </w14:textFill>
        </w:rPr>
      </w:pPr>
      <w:r>
        <w:rPr>
          <w:color w:val="000000" w:themeColor="text1"/>
          <w14:textFill>
            <w14:solidFill>
              <w14:schemeClr w14:val="tx1"/>
            </w14:solidFill>
          </w14:textFill>
        </w:rPr>
        <w:t>In battery charging systems, there are two main approaches to process control, namely open-loop and closed-loop methods. The open-loop method is a traditional approach that works without considering the feedback of the system [18]–[20].</w:t>
      </w:r>
      <w:r>
        <w:rPr>
          <w:color w:val="000000" w:themeColor="text1"/>
          <w:lang w:val="en-GB"/>
          <w14:textFill>
            <w14:solidFill>
              <w14:schemeClr w14:val="tx1"/>
            </w14:solidFill>
          </w14:textFill>
        </w:rPr>
        <w:t xml:space="preserve"> </w:t>
      </w:r>
      <w:r>
        <w:rPr>
          <w:color w:val="000000" w:themeColor="text1"/>
          <w14:textFill>
            <w14:solidFill>
              <w14:schemeClr w14:val="tx1"/>
            </w14:solidFill>
          </w14:textFill>
        </w:rPr>
        <w:t>This means that the charging process is carried out based on predetermined parameters without any adjustment to the actual condition of the battery during charging. Although simple, this method has limitations in terms of flexibility and response to changing conditions, such as battery temperature, cell life, or system load. In contrast, the closed-loop method offers a more adaptive and responsive solution. The closed-loop system uses feedback from important parameters such as voltage, current, and battery temperature to make real-time adjustments. This approach allows the charging system to respond to the dynamics of the battery more accurately, thus improving the efficiency and safety of the charging process. One of the most commonly used forms of closed-loop control is PID control [8].</w:t>
      </w:r>
    </w:p>
    <w:p w14:paraId="4E54153F">
      <w:pPr>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use of PID control in battery management systems (BMS) is very broad due to its simplicity of implementation and its ability to provide stable and accurate responses. The PID controller works by calculating the difference between the actual value and the desired value (setpoint), and then adjusting the control signal to minimize the difference. The proportional component is in charge of responding to current errors, the integral component takes into account the accumulation of past errors, while the derivative component predicts future errors. The combination of these three components allows the system to keep battery charging conditions within safe and optimal limits [21]. With the application of PID control, the battery charging system can precisely regulate the charging current and voltage according to the actual condition of the battery. This not only improves energy efficiency, but also helps extend battery life and reduces the risk of damage due to overcharging or uncontrolled temperatures. Therefore, the closed-loop approach with PID control is becoming an increasingly adopted standard in modern battery charging technology, both for portable devices and electric vehicles.</w:t>
      </w:r>
    </w:p>
    <w:p w14:paraId="0598F394">
      <w:pPr>
        <w:keepNext w:val="0"/>
        <w:keepLines w:val="0"/>
        <w:pageBreakBefore w:val="0"/>
        <w:widowControl/>
        <w:kinsoku/>
        <w:wordWrap/>
        <w:overflowPunct/>
        <w:topLinePunct w:val="0"/>
        <w:autoSpaceDE/>
        <w:autoSpaceDN/>
        <w:bidi w:val="0"/>
        <w:adjustRightInd/>
        <w:snapToGrid/>
        <w:ind w:firstLine="357"/>
        <w:textAlignment w:val="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Several studies have explored the application of PID control for battery charging to improve system responsiveness and stability. For example, Kaleem et al. [8] proposed a closed-loop fast charging system based on feedback PID and demonstrated improved regulation of charging current and voltage in real time. Wang et al.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ISSN":"2199-4536","author":[{"dropping-particle":"","family":"Wang","given":"Xiuzhuo","non-dropping-particle":"","parse-names":false,"suffix":""},{"dropping-particle":"","family":"Tang","given":"Yanfeng","non-dropping-particle":"","parse-names":false,"suffix":""},{"dropping-particle":"","family":"Li","given":"Zeyao","non-dropping-particle":"","parse-names":false,"suffix":""},{"dropping-particle":"","family":"Xu","given":"Chunsheng","non-dropping-particle":"","parse-names":false,"suffix":""}],"container-title":"Complex &amp; Intelligent Systems","id":"ITEM-1","issue":"5","issued":{"date-parts":[["2024"]]},"page":"6421-6433","publisher":"Springer","title":"Research on charging strategy based on improved particle swarm optimization PID algorithm","type":"article-journal","volume":"10"},"uris":["http://www.mendeley.com/documents/?uuid=4f6f60cf-7b0f-45d6-ab94-8a951f4cfbb0"]}],"mendeley":{"formattedCitation":"[12]","plainTextFormattedCitation":"[12]","previouslyFormattedCitation":"[12]"},"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[12]</w:t>
      </w:r>
      <w:r>
        <w:rPr>
          <w:color w:val="000000" w:themeColor="text1"/>
          <w:lang w:val="en-US"/>
          <w14:textFill>
            <w14:solidFill>
              <w14:schemeClr w14:val="tx1"/>
            </w14:solidFill>
          </w14:textFill>
        </w:rPr>
        <w:fldChar w:fldCharType="end"/>
      </w:r>
      <w:r>
        <w:rPr>
          <w:color w:val="000000" w:themeColor="text1"/>
          <w:lang w:val="en-US"/>
          <w14:textFill>
            <w14:solidFill>
              <w14:schemeClr w14:val="tx1"/>
            </w14:solidFill>
          </w14:textFill>
        </w:rPr>
        <w:t xml:space="preserve"> employed an enhanced PID algorithm optimized via particle swarm optimization (PSO) to further improve accuracy and response time. Similarly, Rad et al.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{"citationItems":[{"id":"ITEM-1","itemData":{"ISBN":"9798350317664","author":[{"dropping-particle":"","family":"Rad","given":"Shervin Salehi","non-dropping-particle":"","parse-names":false,"suffix":""},{"dropping-particle":"","family":"Muhlbaier","given":"Micheal","non-dropping-particle":"","parse-names":false,"suffix":""},{"dropping-particle":"","family":"Fishman","given":"Oleg","non-dropping-particle":"","parse-names":false,"suffix":""},{"dropping-particle":"","family":"Chevinly","given":"Javad","non-dropping-particle":"","parse-names":false,"suffix":""},{"dropping-particle":"","family":"Nadi","given":"Elias","non-dropping-particle":"","parse-names":false,"suffix":""},{"dropping-particle":"","family":"Zhang","given":"Hua","non-dropping-particle":"","parse-names":false,"suffix":""},{"dropping-particle":"","family":"Lu","given":"Fei","non-dropping-particle":"","parse-names":false,"suffix":""}],"container-title":"2024 IEEE Transportation Electrification Conference and Expo (ITEC)","id":"ITEM-1","issued":{"date-parts":[["2024"]]},"page":"1-5","publisher":"IEEE","title":"A Novel Approach in Evaluating Battery Charger Controller Design with Nonlinear PID Controller for an Extendable CHIL Setup","type":"paper-conference"},"uris":["http://www.mendeley.com/documents/?uuid=23288622-7919-41e7-9e0b-1f38d5b13ade"]}],"mendeley":{"formattedCitation":"[22]","plainTextFormattedCitation":"[22]","previouslyFormattedCitation":"[21]"},"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[22]</w:t>
      </w:r>
      <w:r>
        <w:rPr>
          <w:color w:val="000000" w:themeColor="text1"/>
          <w:lang w:val="en-US"/>
          <w14:textFill>
            <w14:solidFill>
              <w14:schemeClr w14:val="tx1"/>
            </w14:solidFill>
          </w14:textFill>
        </w:rPr>
        <w:fldChar w:fldCharType="end"/>
      </w:r>
      <w:r>
        <w:rPr>
          <w:color w:val="000000" w:themeColor="text1"/>
          <w:lang w:val="en-US"/>
          <w14:textFill>
            <w14:solidFill>
              <w14:schemeClr w14:val="tx1"/>
            </w14:solidFill>
          </w14:textFill>
        </w:rPr>
        <w:t xml:space="preserve"> developed a nonlinear PID control strategy for battery charger evaluation using a CHIL (Controller Hardware-in-the-Loop) setup, showing significant improvements in stability and overshoot suppression. These works support the feasibility and effectiveness of PID implementation in dynamic charging environments, which is the basis for the approach presented in this document.</w:t>
      </w:r>
    </w:p>
    <w:p w14:paraId="7ED19CA6">
      <w:pPr>
        <w:pStyle w:val="3"/>
        <w:rPr>
          <w:color w:val="000000" w:themeColor="text1"/>
          <w14:textFill>
            <w14:solidFill>
              <w14:schemeClr w14:val="tx1"/>
            </w14:solidFill>
          </w14:textFill>
        </w:rPr>
      </w:pPr>
      <w:r>
        <w:rPr>
          <w:color w:val="000000" w:themeColor="text1"/>
          <w14:textFill>
            <w14:solidFill>
              <w14:schemeClr w14:val="tx1"/>
            </w14:solidFill>
          </w14:textFill>
        </w:rPr>
        <w:t>Challenges in Fast Charging</w:t>
      </w:r>
      <w:r>
        <w:rPr>
          <w:color w:val="000000" w:themeColor="text1"/>
          <w:lang w:val="en-US"/>
          <w14:textFill>
            <w14:solidFill>
              <w14:schemeClr w14:val="tx1"/>
            </w14:solidFill>
          </w14:textFill>
        </w:rPr>
        <w:t xml:space="preserve"> </w:t>
      </w:r>
    </w:p>
    <w:p w14:paraId="1C162EC1">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Fast charging has become an important feature in a variety of applications, especially in portable electronic devices and electric vehicles. However, in addition to its advantages in saving time, fast charging also presents a number of technical challenges that are quite complex. These challenges relate to the safety, efficiency and long-term durability aspects of the battery itself [1][23].</w:t>
      </w:r>
    </w:p>
    <w:p w14:paraId="16E29230">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One of the main problems with fast charging is overheating or an excessive increase in temperature. When high charging currents are used to speed up the process, the internal resistance of the battery causes a significant increase in temperature. If not properly controlled, overheating can trigger harmful chemical reactions, accelerate the degradation of battery cells, and even pose a risk of fire or explosion. Therefore, thermal management is a critical aspect in the design of a fast-charging system. Active or passive cooling systems are often applied to keep the temperature within safe limits </w:t>
      </w:r>
      <w:r>
        <w:rPr>
          <w:color w:val="000000" w:themeColor="text1"/>
          <w:lang w:val="en-US"/>
          <w14:textFill>
            <w14:solidFill>
              <w14:schemeClr w14:val="tx1"/>
            </w14:solidFill>
          </w14:textFill>
        </w:rPr>
        <w:fldChar w:fldCharType="begin" w:fldLock="1"/>
      </w:r>
      <w:r>
        <w:rPr>
          <w:color w:val="000000" w:themeColor="text1"/>
          <w14:textFill>
            <w14:solidFill>
              <w14:schemeClr w14:val="tx1"/>
            </w14:solidFill>
          </w14:textFill>
        </w:rPr>
        <w:instrText xml:space="preserve">ADDIN CSL_CITATION {"citationItems":[{"id":"ITEM-1","itemData":{"DOI":"10.1016/j.sajce.2024.09.008","ISSN":"10269185","abstract":"Advances in cathode materials continue to drive the development of safer, more efficient, and sustainable lithium-ion (Li-ion) batteries for various applications, including electric vehicles (EVs) and grid storage. This review article offers insights into key elements—lithium, nickel, manganese, cobalt, and aluminium—within modern battery technology, focusing on their roles and significance in Li-ion batteries. The review paper delves into the materials comprising a Li-ion battery cell, including the cathode, anode, current concentrators, binders, additives, electrolyte, separator, and cell casing, elucidating their roles and characteristics. Additionally, it examines various cathode materials crucial to the performance and safety of Li-ion batteries, such as spinels, lithium metal oxides, and olivines, presenting their distinct advantages and challenges for battery applications. Lithium manganese (Li-Mn-O) spinels, like LiMn2O4, offer a cost-effective and environmentally friendly option with good thermal stability despite challenges such as capacity fading, which necessitate innovative approaches like dual-doping strategies. Nickel-rich lithium metal oxides like LiNixMnyCo1-x-yO2 provide high specific energy but face/encounter issues with cobalt reliance and stability, prompting research to reduce cobalt content and increase nickel content. Olivine-based cathode materials, such as lithium iron phosphate (LiFePO4), prioritize safety and stability but exhibit lower energy density, leading to exploration into isomorphous substitutions and nanostructuring to enhance performance. Safety considerations, including thermal management and rigorous testing protocols, are essential to mitigate risks of thermal runaway and short circuits. Thus, this review scrutinizes recent advancements in Li-ion battery cathode materials, delving into strategies aimed at mitigating associated drawbacks and identifying suitable electrode materials based on their electrochemical performance and capacity during operation.","author":[{"dropping-particle":"","family":"Koech","given":"Alex K.","non-dropping-particle":"","parse-names":false,"suffix":""},{"dropping-particle":"","family":"Mwandila","given":"Gershom","non-dropping-particle":"","parse-names":false,"suffix":""},{"dropping-particle":"","family":"Mulolani","given":"Francis","non-dropping-particle":"","parse-names":false,"suffix":""},{"dropping-particle":"","family":"Mwaanga","given":"Phenny","non-dropping-particle":"","parse-names":false,"suffix":""}],"container-title":"South African Journal of Chemical Engineering","id":"ITEM-1","issue":"September","issued":{"date-parts":[["2024"]]},"page":"321-339","publisher":"Elsevier B.V.","title":"Lithium-ion battery fundamentals and exploration of cathode materials: A review","type":"article-journal","volume":"50"},"uris":["http://www.mendeley.com/documents/?uuid=b7b3a3d9-5c58-4a14-87f7-1115881fc30c"]},{"id":"ITEM-2","itemData":{"DOI":"10.1155/2024/9921062","ISSN":"20507038","abstract":"Frequency control, especially when incorporating distributed generation units such as wind and solar power plants, is crucial for maintaining grid stability. To address this issue, a study proposes a method for controlling the connection status of electric vehicles (EVs) to prevent frequency fluctuations. The method utilizes an adaptive neural-fuzzy inference system (ANFIS) and a whale optimization algorithm to regulate the charging or discharging of EV batteries based on frequency fluctuations. The objective is to minimize and adjust the frequency fluctuations to zero. The proposed method is evaluated using a real microgrid composed of a wind power plant, a solar power plant, a diesel generator, a large household load, an industrial load, and 711 electric vehicles. The ANFIS system serves as the primary controller, taking inputs such as electric vehicle and battery status and generating outputs that determine the charging or discharging of the electric vehicles. Several investigations are conducted to assess the effectiveness of this model, and the results obtained are compared with the normal state where electric vehicles only consume power. By implementing this method, it is expected that the connection status of electric vehicles can be optimized to help stabilize the grid and minimize frequency fluctuations caused by the integration of distributed renewable energy sources. This study highlights the importance of automatic frequency control in smart grids and offers a potential solution using ANFIS and the whale optimization algorithm.","author":[{"dropping-particle":"","family":"Mahdavi","given":"Zahra","non-dropping-particle":"","parse-names":false,"suffix":""},{"dropping-particle":"","family":"Samavat","given":"Tina","non-dropping-particle":"","parse-names":false,"suffix":""},{"dropping-particle":"","family":"Javanmardi","given":"Anita Sadat Jahani","non-dropping-particle":"","parse-names":false,"suffix":""},{"dropping-particle":"","family":"Dashtaki","given":"Mohammad Ali","non-dropping-particle":"","parse-names":false,"suffix":""},{"dropping-particle":"","family":"Zand","given":"Mohammad","non-dropping-particle":"","parse-names":false,"suffix":""},{"dropping-particle":"","family":"Nasab","given":"Morteza Azimi","non-dropping-particle":"","parse-names":false,"suffix":""},{"dropping-particle":"","family":"Nasab","given":"Mostafa Azimi","non-dropping-particle":"","parse-names":false,"suffix":""},{"dropping-particle":"","family":"Padmanaban","given":"Sanjeevikumar","non-dropping-particle":"","parse-names":false,"suffix":""},{"dropping-particle":"","family":"Khan","given":"Baseem","non-dropping-particle":"","parse-names":false,"suffix":""}],"container-title":"International Transactions on Electrical Energy Systems","id":"ITEM-2","issued":{"date-parts":[["2024"]]},"title":"Providing a Control System for Charging Electric Vehicles Using ANFIS","type":"article-journal","volume":"2024"},"uris":["http://www.mendeley.com/documents/?uuid=da244d98-966c-471c-bcdf-1e7f02bd3174"]},{"id":"ITEM-3","itemData":{"DOI":"10.1109/ACCESS.2025.3535571","author":[{"dropping-particle":"","family":"Gul","given":"Bibi Tabassam","non-dropping-particle":"","parse-names":false,"suffix":""},{"dropping-particle":"","family":"Ahmad","given":"Iftikhar","non-dropping-particle":"","parse-names":false,"suffix":""}],"container-title":"IEEE Access","id":"ITEM-3","issue":"December 2024","issued":{"date-parts":[["2025"]]},"page":"20361-20373","publisher":"IEEE","title":"Optimized ANFIS-Based Robust Nonlinear Control of a Solar Off-Grid Charging Station for Electric Vehicles","type":"article-journal","volume":"13"},"uris":["http://www.mendeley.com/documents/?uuid=3e2e2688-4d10-4b38-9a1b-34c98ed3e45c"]}],"mendeley":{"formattedCitation":"[4], [21], [24]","plainTextFormattedCitation":"[4], [21], [24]","previouslyFormattedCitation":"[4], [20], [23]"},"properties":{"noteIndex":0},"schema":"https://github.com/citation-style-language/schema/raw/master/csl-citation.json"}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14:textFill>
            <w14:solidFill>
              <w14:schemeClr w14:val="tx1"/>
            </w14:solidFill>
          </w14:textFill>
        </w:rPr>
        <w:t>[4], [21], [24]</w:t>
      </w:r>
      <w:r>
        <w:rPr>
          <w:color w:val="000000" w:themeColor="text1"/>
          <w:lang w:val="en-GB"/>
          <w14:textFill>
            <w14:solidFill>
              <w14:schemeClr w14:val="tx1"/>
            </w14:solidFill>
          </w14:textFill>
        </w:rPr>
        <w:fldChar w:fldCharType="end"/>
      </w:r>
      <w:r>
        <w:rPr>
          <w:color w:val="000000" w:themeColor="text1"/>
          <w14:textFill>
            <w14:solidFill>
              <w14:schemeClr w14:val="tx1"/>
            </w14:solidFill>
          </w14:textFill>
        </w:rPr>
        <w:t>.</w:t>
      </w:r>
    </w:p>
    <w:p w14:paraId="6936A6DF">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14:textFill>
            <w14:solidFill>
              <w14:schemeClr w14:val="tx1"/>
            </w14:solidFill>
          </w14:textFill>
        </w:rPr>
        <w:t>In addition to heat, overcurrent and overcharging are also serious challenges. Too high a current not only accelerates heating, but can also damage the internal structure of the battery, accelerate electrolyte wear, and reduce overall efficiency [25], [26]. Meanwhile, uncontrolled charging beyond the maximum voltage limit can lead to permanent degradation of capacity. Overcharging also has the potential to create chemical instability in the battery, leading to cell bulging or even leakage.</w:t>
      </w:r>
    </w:p>
    <w:p w14:paraId="5480DFEF">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To address this risk, a reliable overcharging prevention system is required, such as real-time voltage and current monitoring, as well as the implementation of smart controls that can stop charging when the parameters have reached safe limits. Efficiency optimization is also an important focus, where the challenge lies in how to balance charging speed with minimal energy loss. Inefficient fast charging not only wastes energy but also accelerates battery aging. In general, while fast charging offers convenience and time efficiency, its implementation must take into account a variety of technical challenges that can affect battery safety and life [27], [28]. </w:t>
      </w:r>
    </w:p>
    <w:p w14:paraId="33880915">
      <w:pPr>
        <w:pStyle w:val="2"/>
        <w:rPr>
          <w:color w:val="000000" w:themeColor="text1"/>
          <w14:textFill>
            <w14:solidFill>
              <w14:schemeClr w14:val="tx1"/>
            </w14:solidFill>
          </w14:textFill>
        </w:rPr>
      </w:pPr>
      <w:r>
        <w:rPr>
          <w:color w:val="000000" w:themeColor="text1"/>
          <w14:textFill>
            <w14:solidFill>
              <w14:schemeClr w14:val="tx1"/>
            </w14:solidFill>
          </w14:textFill>
        </w:rPr>
        <w:t>SYSTEM DESIGN AND METHODOLOGY</w:t>
      </w:r>
      <w:r>
        <w:rPr>
          <w:color w:val="000000" w:themeColor="text1"/>
          <w:lang w:val="en-US"/>
          <w14:textFill>
            <w14:solidFill>
              <w14:schemeClr w14:val="tx1"/>
            </w14:solidFill>
          </w14:textFill>
        </w:rPr>
        <w:t xml:space="preserve"> </w:t>
      </w:r>
    </w:p>
    <w:p w14:paraId="68EF3BC6">
      <w:pPr>
        <w:pStyle w:val="3"/>
        <w:numPr>
          <w:ilvl w:val="0"/>
          <w:numId w:val="9"/>
        </w:numPr>
        <w:rPr>
          <w:rStyle w:val="35"/>
          <w:color w:val="000000" w:themeColor="text1"/>
          <w14:textFill>
            <w14:solidFill>
              <w14:schemeClr w14:val="tx1"/>
            </w14:solidFill>
          </w14:textFill>
        </w:rPr>
      </w:pPr>
      <w:r>
        <w:rPr>
          <w:color w:val="000000" w:themeColor="text1"/>
          <w14:textFill>
            <w14:solidFill>
              <w14:schemeClr w14:val="tx1"/>
            </w14:solidFill>
          </w14:textFill>
        </w:rPr>
        <w:t xml:space="preserve">Overview of the Charging System </w:t>
      </w:r>
      <w:r>
        <w:rPr>
          <w:color w:val="000000" w:themeColor="text1"/>
          <w:lang w:val="en-US"/>
          <w14:textFill>
            <w14:solidFill>
              <w14:schemeClr w14:val="tx1"/>
            </w14:solidFill>
          </w14:textFill>
        </w:rPr>
        <w:t xml:space="preserve"> </w:t>
      </w:r>
    </w:p>
    <w:p w14:paraId="66568A31">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14:textFill>
            <w14:solidFill>
              <w14:schemeClr w14:val="tx1"/>
            </w14:solidFill>
          </w14:textFill>
        </w:rPr>
        <w:t>The architecture of the PID-based fast charging system and the CCCV method are designed to provide efficient, safe, and adaptive charging to battery conditions. The system combines several essential components that work in an integrated closed-loop control framework, allowing dynamic adjustments during the charging process.</w:t>
      </w:r>
    </w:p>
    <w:p w14:paraId="1489E7BA">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14:textFill>
            <w14:solidFill>
              <w14:schemeClr w14:val="tx1"/>
            </w14:solidFill>
          </w14:textFill>
        </w:rPr>
        <w:t>One of the key components of this architecture is the power supply that provides electrical energy with the appropriate capacity and voltage for fast charging. This energy is then fed to a CCCV charger controlled by the PID algorithm, which is in charge of regulating the charging process with two main stages. In the first stage, the battery is charged with constant current until it reaches a certain voltage limit. After that, the charge continues with constant voltage while the current gradually decreases until it reaches the minimum threshold.</w:t>
      </w:r>
    </w:p>
    <w:p w14:paraId="24520C14">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14:textFill>
            <w14:solidFill>
              <w14:schemeClr w14:val="tx1"/>
            </w14:solidFill>
          </w14:textFill>
        </w:rPr>
        <w:t>The PID controller sets the charging parameters in real-time. These controllers receive input from various sensors, such as voltage and current sensors, which monitor the condition of the battery during the charging process, and which monitor the condition of the battery during the charging process. Based on these data, the PID controller adjusts the control signal to maintain current and voltage stability according to the predetermined setpoint [12], [22]. This allows the system to respond quickly and precisely to changes in battery conditions, avoiding the risk of overcharging, overheating, or damage due to voltage instability.</w:t>
      </w:r>
    </w:p>
    <w:p w14:paraId="3CD51B82">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14:textFill>
            <w14:solidFill>
              <w14:schemeClr w14:val="tx1"/>
            </w14:solidFill>
          </w14:textFill>
        </w:rPr>
        <w:t>The entire process is controlled and coordinated by a microcontroller, which serves as the brain of the charging system. The microcontroller runs a closed control algorithm, processes sensor data, and adjusts the output of the charger to meet optimal charging needs. With this approach, the charging system architecture not only ensures energy efficiency, but also extends battery life and increases operational safety levels, especially in the context of fast charging that demands high performance.</w:t>
      </w:r>
    </w:p>
    <w:p w14:paraId="568D1860">
      <w:pPr>
        <w:pStyle w:val="3"/>
        <w:numPr>
          <w:ilvl w:val="0"/>
          <w:numId w:val="9"/>
        </w:numPr>
        <w:rPr>
          <w:rStyle w:val="35"/>
          <w:color w:val="000000" w:themeColor="text1"/>
          <w:lang w:val="en-US"/>
          <w14:textFill>
            <w14:solidFill>
              <w14:schemeClr w14:val="tx1"/>
            </w14:solidFill>
          </w14:textFill>
        </w:rPr>
      </w:pPr>
      <w:r>
        <w:rPr>
          <w:color w:val="000000" w:themeColor="text1"/>
          <w14:textFill>
            <w14:solidFill>
              <w14:schemeClr w14:val="tx1"/>
            </w14:solidFill>
          </w14:textFill>
        </w:rPr>
        <w:t>PID Control Strategy</w:t>
      </w:r>
      <w:r>
        <w:rPr>
          <w:color w:val="000000" w:themeColor="text1"/>
          <w:lang w:val="en-US"/>
          <w14:textFill>
            <w14:solidFill>
              <w14:schemeClr w14:val="tx1"/>
            </w14:solidFill>
          </w14:textFill>
        </w:rPr>
        <w:t xml:space="preserve"> </w:t>
      </w:r>
    </w:p>
    <w:p w14:paraId="7E32F00F">
      <w:pPr>
        <w:rPr>
          <w:color w:val="000000" w:themeColor="text1"/>
          <w14:textFill>
            <w14:solidFill>
              <w14:schemeClr w14:val="tx1"/>
            </w14:solidFill>
          </w14:textFill>
        </w:rPr>
      </w:pPr>
      <w:r>
        <w:rPr>
          <w:color w:val="000000" w:themeColor="text1"/>
          <w14:textFill>
            <w14:solidFill>
              <w14:schemeClr w14:val="tx1"/>
            </w14:solidFill>
          </w14:textFill>
        </w:rPr>
        <w:t>The PID controller is a type of control system that is widely used to regulate various variables in an engineering system, including voltage and temperature. In its setup, the PID controller works by combining three main components, namely proportional (P), integral (I) and derivative (D). The integral component (I) has an important function in reducing steady-state errors over time, by accumulating errors and adjusting the output to slowly but surely correct deviations. Meanwhile, the derivative component (D) plays a role in predicting future errors by analyzing the rate of error change, so that it can help prevent overshoots or excessive spikes in the system. By combining these three components, the PID controller is able to provide stable and responsive control to changing conditions, making it very effective in maintaining voltage and temperature stability in the system it controls. It shows in Figure 2.</w:t>
      </w:r>
    </w:p>
    <w:p w14:paraId="032A415B">
      <w:pPr>
        <w:rPr>
          <w:color w:val="000000" w:themeColor="text1"/>
          <w14:textFill>
            <w14:solidFill>
              <w14:schemeClr w14:val="tx1"/>
            </w14:solidFill>
          </w14:textFill>
        </w:rPr>
      </w:pPr>
      <w:r>
        <w:rPr>
          <w:color w:val="000000" w:themeColor="text1"/>
          <w14:textFill>
            <w14:solidFill>
              <w14:schemeClr w14:val="tx1"/>
            </w14:solidFill>
          </w14:textFill>
        </w:rPr>
        <w:t>Figure 2 illustrates the implementation of PID control in both current and voltage regulation. In part (a), the PID controller regulates the charging current during the constant current (CC) phase by comparing the measured current with the reference set point and adjusting the duty cycle accordingly. In part (b), during the constant voltage (CV) phase, the controller maintains the output voltage at the predefined level by modifying the control signal based on the voltage error. Both sub-figures highlight the real-time feedback loop that ensures the system operates within safe and efficient charging parameters.</w:t>
      </w:r>
    </w:p>
    <w:p w14:paraId="26500485">
      <w:pPr>
        <w:rPr>
          <w:color w:val="000000" w:themeColor="text1"/>
          <w14:textFill>
            <w14:solidFill>
              <w14:schemeClr w14:val="tx1"/>
            </w14:solidFill>
          </w14:textFill>
        </w:rPr>
      </w:pPr>
      <w:r>
        <w:rPr>
          <w:color w:val="000000" w:themeColor="text1"/>
          <w14:textFill>
            <w14:solidFill>
              <w14:schemeClr w14:val="tx1"/>
            </w14:solidFill>
          </w14:textFill>
        </w:rPr>
        <w:t>The PID controller used in this study was implemented using the PID_v2 library in embedded C. The tuning parameters were selected on the basis of iterative trial-and-error testing to achieve a balance between fast response and stability for current regulation during the constant current (CC) phase. The final PID gains used were proportional gain (Kp): 1.0; Integral gain (Ki): 0.5; Derivative gain (Kd): 0.0. The PID controller was configured in Direct mode, and the initial setpoint for current was set to 1.0 A. The output of the PID algorithm was used to adjust the duty cycle of the charging circuit via PWM control. Given that derivative action can introduce noise and instability in real-time embedded systems, the derivative gain was deliberately set to zero. The sampling time was implicitly controlled by the main loop execution, which was designed to run at approximately 100 ms intervals. This configuration allowed the system to maintain current within the desired limits during charging, providing smooth and safe operation without overshoot.</w:t>
      </w:r>
    </w:p>
    <w:p w14:paraId="4E9E5860">
      <w:pPr>
        <w:pStyle w:val="3"/>
        <w:numPr>
          <w:ilvl w:val="0"/>
          <w:numId w:val="9"/>
        </w:numPr>
        <w:rPr>
          <w:rStyle w:val="35"/>
          <w:color w:val="000000" w:themeColor="text1"/>
          <w:lang w:val="en-US"/>
          <w14:textFill>
            <w14:solidFill>
              <w14:schemeClr w14:val="tx1"/>
            </w14:solidFill>
          </w14:textFill>
        </w:rPr>
      </w:pPr>
      <w:r>
        <w:rPr>
          <w:color w:val="000000" w:themeColor="text1"/>
          <w14:textFill>
            <w14:solidFill>
              <w14:schemeClr w14:val="tx1"/>
            </w14:solidFill>
          </w14:textFill>
        </w:rPr>
        <w:t>Closed-Loop Control Implementation</w:t>
      </w:r>
      <w:r>
        <w:rPr>
          <w:color w:val="000000" w:themeColor="text1"/>
          <w:lang w:val="en-US"/>
          <w14:textFill>
            <w14:solidFill>
              <w14:schemeClr w14:val="tx1"/>
            </w14:solidFill>
          </w14:textFill>
        </w:rPr>
        <w:t xml:space="preserve"> </w:t>
      </w:r>
    </w:p>
    <w:p w14:paraId="7C86DDB1">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-36195</wp:posOffset>
                </wp:positionH>
                <wp:positionV relativeFrom="paragraph">
                  <wp:posOffset>175895</wp:posOffset>
                </wp:positionV>
                <wp:extent cx="3004185" cy="2668270"/>
                <wp:effectExtent l="0" t="0" r="0" b="0"/>
                <wp:wrapTopAndBottom/>
                <wp:docPr id="9" name="Rectangles 9"/>
                <wp:cNvGraphicFramePr/>
                <a:graphic xmlns:a="http://schemas.openxmlformats.org/drawingml/2006/main">
                  <a:graphicData uri="http://schemas.microsoft.com/office/word/2010/wordprocessingShape">
                    <wps:wsp>
                      <wps:cNvSpPr/>
                      <wps:spPr>
                        <a:xfrm>
                          <a:off x="889000" y="6744970"/>
                          <a:ext cx="3004185" cy="2668270"/>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4EA65852">
                            <w:pPr>
                              <w:ind w:firstLine="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2809875" cy="986790"/>
                                  <wp:effectExtent l="0" t="0" r="9525" b="3810"/>
                                  <wp:docPr id="2237283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28314"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21706" cy="991194"/>
                                          </a:xfrm>
                                          <a:prstGeom prst="rect">
                                            <a:avLst/>
                                          </a:prstGeom>
                                          <a:noFill/>
                                          <a:ln>
                                            <a:noFill/>
                                          </a:ln>
                                        </pic:spPr>
                                      </pic:pic>
                                    </a:graphicData>
                                  </a:graphic>
                                </wp:inline>
                              </w:drawing>
                            </w:r>
                          </w:p>
                          <w:p w14:paraId="46B64F5D">
                            <w:pPr>
                              <w:pStyle w:val="37"/>
                              <w:keepNext w:val="0"/>
                              <w:keepLines w:val="0"/>
                              <w:pageBreakBefore w:val="0"/>
                              <w:widowControl w:val="0"/>
                              <w:kinsoku/>
                              <w:wordWrap/>
                              <w:overflowPunct/>
                              <w:topLinePunct w:val="0"/>
                              <w:bidi w:val="0"/>
                              <w:adjustRightInd/>
                              <w:snapToGrid/>
                              <w:spacing w:after="60"/>
                              <w:ind w:firstLine="0"/>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(a)</w:t>
                            </w:r>
                          </w:p>
                          <w:p w14:paraId="22330E09">
                            <w:pPr>
                              <w:ind w:firstLine="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2752725" cy="1043940"/>
                                  <wp:effectExtent l="0" t="0" r="5715" b="7620"/>
                                  <wp:docPr id="5253315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3151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71987" cy="1051652"/>
                                          </a:xfrm>
                                          <a:prstGeom prst="rect">
                                            <a:avLst/>
                                          </a:prstGeom>
                                          <a:noFill/>
                                          <a:ln>
                                            <a:noFill/>
                                          </a:ln>
                                        </pic:spPr>
                                      </pic:pic>
                                    </a:graphicData>
                                  </a:graphic>
                                </wp:inline>
                              </w:drawing>
                            </w:r>
                          </w:p>
                          <w:p w14:paraId="540BF69B">
                            <w:pPr>
                              <w:pStyle w:val="37"/>
                              <w:keepNext w:val="0"/>
                              <w:keepLines w:val="0"/>
                              <w:pageBreakBefore w:val="0"/>
                              <w:widowControl w:val="0"/>
                              <w:kinsoku/>
                              <w:wordWrap/>
                              <w:overflowPunct/>
                              <w:topLinePunct w:val="0"/>
                              <w:bidi w:val="0"/>
                              <w:adjustRightInd/>
                              <w:snapToGrid/>
                              <w:spacing w:after="60"/>
                              <w:ind w:firstLine="0"/>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(b)</w:t>
                            </w:r>
                          </w:p>
                          <w:p w14:paraId="653F9C63">
                            <w:pPr>
                              <w:pStyle w:val="37"/>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Figure 2. PID </w:t>
                            </w:r>
                            <w:r>
                              <w:rPr>
                                <w:rFonts w:hint="default"/>
                                <w:color w:val="000000" w:themeColor="text1"/>
                                <w:sz w:val="18"/>
                                <w:szCs w:val="18"/>
                                <w:lang w:val="en-US"/>
                                <w14:textFill>
                                  <w14:solidFill>
                                    <w14:schemeClr w14:val="tx1"/>
                                  </w14:solidFill>
                                </w14:textFill>
                              </w:rPr>
                              <w:t>C</w:t>
                            </w:r>
                            <w:r>
                              <w:rPr>
                                <w:color w:val="000000" w:themeColor="text1"/>
                                <w:sz w:val="18"/>
                                <w:szCs w:val="18"/>
                                <w14:textFill>
                                  <w14:solidFill>
                                    <w14:schemeClr w14:val="tx1"/>
                                  </w14:solidFill>
                                </w14:textFill>
                              </w:rPr>
                              <w:t xml:space="preserve">ontroller </w:t>
                            </w:r>
                            <w:r>
                              <w:rPr>
                                <w:rFonts w:hint="default"/>
                                <w:color w:val="000000" w:themeColor="text1"/>
                                <w:sz w:val="18"/>
                                <w:szCs w:val="18"/>
                                <w:lang w:val="en-US"/>
                                <w14:textFill>
                                  <w14:solidFill>
                                    <w14:schemeClr w14:val="tx1"/>
                                  </w14:solidFill>
                                </w14:textFill>
                              </w:rPr>
                              <w:t>S</w:t>
                            </w:r>
                            <w:r>
                              <w:rPr>
                                <w:color w:val="000000" w:themeColor="text1"/>
                                <w:sz w:val="18"/>
                                <w:szCs w:val="18"/>
                                <w14:textFill>
                                  <w14:solidFill>
                                    <w14:schemeClr w14:val="tx1"/>
                                  </w14:solidFill>
                                </w14:textFill>
                              </w:rPr>
                              <w:t xml:space="preserve">chematic: (a) </w:t>
                            </w:r>
                            <w:r>
                              <w:rPr>
                                <w:rFonts w:hint="default"/>
                                <w:color w:val="000000" w:themeColor="text1"/>
                                <w:sz w:val="18"/>
                                <w:szCs w:val="18"/>
                                <w:lang w:val="en-US"/>
                                <w14:textFill>
                                  <w14:solidFill>
                                    <w14:schemeClr w14:val="tx1"/>
                                  </w14:solidFill>
                                </w14:textFill>
                              </w:rPr>
                              <w:t>C</w:t>
                            </w:r>
                            <w:r>
                              <w:rPr>
                                <w:color w:val="000000" w:themeColor="text1"/>
                                <w:sz w:val="18"/>
                                <w:szCs w:val="18"/>
                                <w14:textFill>
                                  <w14:solidFill>
                                    <w14:schemeClr w14:val="tx1"/>
                                  </w14:solidFill>
                                </w14:textFill>
                              </w:rPr>
                              <w:t>urrent, (b)</w:t>
                            </w:r>
                            <w:r>
                              <w:rPr>
                                <w:rFonts w:hint="default"/>
                                <w:color w:val="000000" w:themeColor="text1"/>
                                <w:sz w:val="18"/>
                                <w:szCs w:val="18"/>
                                <w:lang w:val="en-US"/>
                                <w14:textFill>
                                  <w14:solidFill>
                                    <w14:schemeClr w14:val="tx1"/>
                                  </w14:solidFill>
                                </w14:textFill>
                              </w:rPr>
                              <w:t>V</w:t>
                            </w:r>
                            <w:r>
                              <w:rPr>
                                <w:color w:val="000000" w:themeColor="text1"/>
                                <w:sz w:val="18"/>
                                <w:szCs w:val="18"/>
                                <w14:textFill>
                                  <w14:solidFill>
                                    <w14:schemeClr w14:val="tx1"/>
                                  </w14:solidFill>
                                </w14:textFill>
                              </w:rPr>
                              <w:t>oltage</w:t>
                            </w:r>
                          </w:p>
                          <w:p w14:paraId="1B37D348">
                            <w:pPr>
                              <w:jc w:val="center"/>
                              <w:rPr>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13.85pt;height:210.1pt;width:236.55pt;mso-wrap-distance-bottom:0pt;mso-wrap-distance-top:0pt;z-index:251664384;v-text-anchor:middle;mso-width-relative:page;mso-height-relative:page;" filled="f" stroked="f" coordsize="21600,21600" o:gfxdata="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fT3FP2AAAAAkBAAAPAAAAAAAAAAEA&#10;IAAAACIAAABkcnMvZG93bnJldi54bWxQSwECFAAUAAAACACHTuJA5ywYcboCAACOBQAADgAAAAAA&#10;AAABACAAAAAnAQAAZHJzL2Uyb0RvYy54bWxQSwUGAAAAAAYABgBZAQAAUwYAAAAA&#10;">
                <v:fill on="f" focussize="0,0"/>
                <v:stroke on="f" weight="2pt"/>
                <v:imagedata o:title=""/>
                <o:lock v:ext="edit" aspectratio="f"/>
                <v:textbox>
                  <w:txbxContent>
                    <w:p w14:paraId="4EA65852">
                      <w:pPr>
                        <w:ind w:firstLine="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2809875" cy="986790"/>
                            <wp:effectExtent l="0" t="0" r="9525" b="3810"/>
                            <wp:docPr id="2237283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28314"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21706" cy="991194"/>
                                    </a:xfrm>
                                    <a:prstGeom prst="rect">
                                      <a:avLst/>
                                    </a:prstGeom>
                                    <a:noFill/>
                                    <a:ln>
                                      <a:noFill/>
                                    </a:ln>
                                  </pic:spPr>
                                </pic:pic>
                              </a:graphicData>
                            </a:graphic>
                          </wp:inline>
                        </w:drawing>
                      </w:r>
                    </w:p>
                    <w:p w14:paraId="46B64F5D">
                      <w:pPr>
                        <w:pStyle w:val="37"/>
                        <w:keepNext w:val="0"/>
                        <w:keepLines w:val="0"/>
                        <w:pageBreakBefore w:val="0"/>
                        <w:widowControl w:val="0"/>
                        <w:kinsoku/>
                        <w:wordWrap/>
                        <w:overflowPunct/>
                        <w:topLinePunct w:val="0"/>
                        <w:bidi w:val="0"/>
                        <w:adjustRightInd/>
                        <w:snapToGrid/>
                        <w:spacing w:after="60"/>
                        <w:ind w:firstLine="0"/>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(a)</w:t>
                      </w:r>
                    </w:p>
                    <w:p w14:paraId="22330E09">
                      <w:pPr>
                        <w:ind w:firstLine="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2752725" cy="1043940"/>
                            <wp:effectExtent l="0" t="0" r="5715" b="7620"/>
                            <wp:docPr id="5253315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3151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71987" cy="1051652"/>
                                    </a:xfrm>
                                    <a:prstGeom prst="rect">
                                      <a:avLst/>
                                    </a:prstGeom>
                                    <a:noFill/>
                                    <a:ln>
                                      <a:noFill/>
                                    </a:ln>
                                  </pic:spPr>
                                </pic:pic>
                              </a:graphicData>
                            </a:graphic>
                          </wp:inline>
                        </w:drawing>
                      </w:r>
                    </w:p>
                    <w:p w14:paraId="540BF69B">
                      <w:pPr>
                        <w:pStyle w:val="37"/>
                        <w:keepNext w:val="0"/>
                        <w:keepLines w:val="0"/>
                        <w:pageBreakBefore w:val="0"/>
                        <w:widowControl w:val="0"/>
                        <w:kinsoku/>
                        <w:wordWrap/>
                        <w:overflowPunct/>
                        <w:topLinePunct w:val="0"/>
                        <w:bidi w:val="0"/>
                        <w:adjustRightInd/>
                        <w:snapToGrid/>
                        <w:spacing w:after="60"/>
                        <w:ind w:firstLine="0"/>
                        <w:jc w:val="center"/>
                        <w:textAlignment w:val="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(b)</w:t>
                      </w:r>
                    </w:p>
                    <w:p w14:paraId="653F9C63">
                      <w:pPr>
                        <w:pStyle w:val="37"/>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Figure 2. PID </w:t>
                      </w:r>
                      <w:r>
                        <w:rPr>
                          <w:rFonts w:hint="default"/>
                          <w:color w:val="000000" w:themeColor="text1"/>
                          <w:sz w:val="18"/>
                          <w:szCs w:val="18"/>
                          <w:lang w:val="en-US"/>
                          <w14:textFill>
                            <w14:solidFill>
                              <w14:schemeClr w14:val="tx1"/>
                            </w14:solidFill>
                          </w14:textFill>
                        </w:rPr>
                        <w:t>C</w:t>
                      </w:r>
                      <w:r>
                        <w:rPr>
                          <w:color w:val="000000" w:themeColor="text1"/>
                          <w:sz w:val="18"/>
                          <w:szCs w:val="18"/>
                          <w14:textFill>
                            <w14:solidFill>
                              <w14:schemeClr w14:val="tx1"/>
                            </w14:solidFill>
                          </w14:textFill>
                        </w:rPr>
                        <w:t xml:space="preserve">ontroller </w:t>
                      </w:r>
                      <w:r>
                        <w:rPr>
                          <w:rFonts w:hint="default"/>
                          <w:color w:val="000000" w:themeColor="text1"/>
                          <w:sz w:val="18"/>
                          <w:szCs w:val="18"/>
                          <w:lang w:val="en-US"/>
                          <w14:textFill>
                            <w14:solidFill>
                              <w14:schemeClr w14:val="tx1"/>
                            </w14:solidFill>
                          </w14:textFill>
                        </w:rPr>
                        <w:t>S</w:t>
                      </w:r>
                      <w:r>
                        <w:rPr>
                          <w:color w:val="000000" w:themeColor="text1"/>
                          <w:sz w:val="18"/>
                          <w:szCs w:val="18"/>
                          <w14:textFill>
                            <w14:solidFill>
                              <w14:schemeClr w14:val="tx1"/>
                            </w14:solidFill>
                          </w14:textFill>
                        </w:rPr>
                        <w:t xml:space="preserve">chematic: (a) </w:t>
                      </w:r>
                      <w:r>
                        <w:rPr>
                          <w:rFonts w:hint="default"/>
                          <w:color w:val="000000" w:themeColor="text1"/>
                          <w:sz w:val="18"/>
                          <w:szCs w:val="18"/>
                          <w:lang w:val="en-US"/>
                          <w14:textFill>
                            <w14:solidFill>
                              <w14:schemeClr w14:val="tx1"/>
                            </w14:solidFill>
                          </w14:textFill>
                        </w:rPr>
                        <w:t>C</w:t>
                      </w:r>
                      <w:r>
                        <w:rPr>
                          <w:color w:val="000000" w:themeColor="text1"/>
                          <w:sz w:val="18"/>
                          <w:szCs w:val="18"/>
                          <w14:textFill>
                            <w14:solidFill>
                              <w14:schemeClr w14:val="tx1"/>
                            </w14:solidFill>
                          </w14:textFill>
                        </w:rPr>
                        <w:t>urrent, (b)</w:t>
                      </w:r>
                      <w:r>
                        <w:rPr>
                          <w:rFonts w:hint="default"/>
                          <w:color w:val="000000" w:themeColor="text1"/>
                          <w:sz w:val="18"/>
                          <w:szCs w:val="18"/>
                          <w:lang w:val="en-US"/>
                          <w14:textFill>
                            <w14:solidFill>
                              <w14:schemeClr w14:val="tx1"/>
                            </w14:solidFill>
                          </w14:textFill>
                        </w:rPr>
                        <w:t>V</w:t>
                      </w:r>
                      <w:r>
                        <w:rPr>
                          <w:color w:val="000000" w:themeColor="text1"/>
                          <w:sz w:val="18"/>
                          <w:szCs w:val="18"/>
                          <w14:textFill>
                            <w14:solidFill>
                              <w14:schemeClr w14:val="tx1"/>
                            </w14:solidFill>
                          </w14:textFill>
                        </w:rPr>
                        <w:t>oltage</w:t>
                      </w:r>
                    </w:p>
                    <w:p w14:paraId="1B37D348">
                      <w:pPr>
                        <w:jc w:val="center"/>
                        <w:rPr>
                          <w:color w:val="000000" w:themeColor="text1"/>
                          <w:sz w:val="18"/>
                          <w:szCs w:val="18"/>
                          <w14:textFill>
                            <w14:solidFill>
                              <w14:schemeClr w14:val="tx1"/>
                            </w14:solidFill>
                          </w14:textFill>
                        </w:rPr>
                      </w:pPr>
                    </w:p>
                  </w:txbxContent>
                </v:textbox>
                <w10:wrap type="topAndBottom"/>
              </v:rect>
            </w:pict>
          </mc:Fallback>
        </mc:AlternateContent>
      </w:r>
      <w:r>
        <w:rPr>
          <w:color w:val="000000" w:themeColor="text1"/>
          <w14:textFill>
            <w14:solidFill>
              <w14:schemeClr w14:val="tx1"/>
            </w14:solidFill>
          </w14:textFill>
        </w:rPr>
        <w:t>The implementation of a closed-loop control system is essential in the battery charging process to ensure efficiency and safety. In this system, sensors are used to continuously monitor the voltage and temperature of the battery during the charging process. The data obtained from this sensor are then sent as feedback to the PID controller. Based on this real-time information, the PID controller will adjust the charging parameters, such as current and voltage, to keep the charging condition stable and in accordance with the safe limits.</w:t>
      </w:r>
    </w:p>
    <w:p w14:paraId="5064CFB0">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14:textFill>
            <w14:solidFill>
              <w14:schemeClr w14:val="tx1"/>
            </w14:solidFill>
          </w14:textFill>
        </w:rPr>
        <w:t>The charging method used is CCCV. In the CC stage, the system controls the charging current to remain constant with the help of feedback from the current sensor. Once the battery voltage reaches a certain limit, the system switches to the CV stage, where the voltage is kept stable while the current slowly decreases. Voltage control at this stage is highly dependent on the system's response to voltage feedback. By integrating the closed-loop control system and the CCCV method, the battery charging process becomes safer, more efficient, and able to extend the battery life. The flow chart of the CCCV method is shown in figure 3.</w:t>
      </w:r>
    </w:p>
    <w:p w14:paraId="68E6AD74">
      <w:pPr>
        <w:pStyle w:val="3"/>
        <w:rPr>
          <w:color w:val="000000" w:themeColor="text1"/>
          <w14:textFill>
            <w14:solidFill>
              <w14:schemeClr w14:val="tx1"/>
            </w14:solidFill>
          </w14:textFill>
        </w:rPr>
      </w:pPr>
      <w:r>
        <w:rPr>
          <w:color w:val="000000" w:themeColor="text1"/>
          <w14:textFill>
            <w14:solidFill>
              <w14:schemeClr w14:val="tx1"/>
            </w14:solidFill>
          </w14:textFill>
        </w:rPr>
        <w:t>Experimental Setup</w:t>
      </w:r>
      <w:r>
        <w:rPr>
          <w:color w:val="000000" w:themeColor="text1"/>
          <w:lang w:val="en-US"/>
          <w14:textFill>
            <w14:solidFill>
              <w14:schemeClr w14:val="tx1"/>
            </w14:solidFill>
          </w14:textFill>
        </w:rPr>
        <w:t xml:space="preserve"> </w:t>
      </w:r>
    </w:p>
    <w:p w14:paraId="5D326EE2">
      <w:pPr>
        <w:rPr>
          <w:color w:val="000000" w:themeColor="text1"/>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1369060</wp:posOffset>
                </wp:positionV>
                <wp:extent cx="2929255" cy="4370705"/>
                <wp:effectExtent l="0" t="0" r="0" b="0"/>
                <wp:wrapTopAndBottom/>
                <wp:docPr id="10" name="Rectangles 10"/>
                <wp:cNvGraphicFramePr/>
                <a:graphic xmlns:a="http://schemas.openxmlformats.org/drawingml/2006/main">
                  <a:graphicData uri="http://schemas.microsoft.com/office/word/2010/wordprocessingShape">
                    <wps:wsp>
                      <wps:cNvSpPr/>
                      <wps:spPr>
                        <a:xfrm>
                          <a:off x="3962400" y="5104765"/>
                          <a:ext cx="2929255" cy="4370705"/>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083DBFEE">
                            <w:pPr>
                              <w:ind w:firstLine="0"/>
                              <w:rPr>
                                <w:color w:val="000000" w:themeColor="text1"/>
                                <w:sz w:val="18"/>
                                <w:szCs w:val="18"/>
                                <w:lang w:val="en-GB"/>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2879725" cy="4112260"/>
                                  <wp:effectExtent l="0" t="0" r="635" b="2540"/>
                                  <wp:docPr id="2037429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29271"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79725" cy="4112548"/>
                                          </a:xfrm>
                                          <a:prstGeom prst="rect">
                                            <a:avLst/>
                                          </a:prstGeom>
                                          <a:noFill/>
                                          <a:ln>
                                            <a:noFill/>
                                          </a:ln>
                                        </pic:spPr>
                                      </pic:pic>
                                    </a:graphicData>
                                  </a:graphic>
                                </wp:inline>
                              </w:drawing>
                            </w:r>
                          </w:p>
                          <w:p w14:paraId="18DC6456">
                            <w:pPr>
                              <w:ind w:left="0" w:leftChars="0" w:firstLine="0" w:firstLineChars="0"/>
                              <w:jc w:val="center"/>
                              <w:rPr>
                                <w:color w:val="000000" w:themeColor="text1"/>
                                <w:sz w:val="18"/>
                                <w:szCs w:val="18"/>
                                <w:lang w:val="en-GB"/>
                                <w14:textFill>
                                  <w14:solidFill>
                                    <w14:schemeClr w14:val="tx1"/>
                                  </w14:solidFill>
                                </w14:textFill>
                              </w:rPr>
                            </w:pPr>
                            <w:r>
                              <w:rPr>
                                <w:color w:val="000000" w:themeColor="text1"/>
                                <w:sz w:val="18"/>
                                <w:szCs w:val="18"/>
                                <w14:textFill>
                                  <w14:solidFill>
                                    <w14:schemeClr w14:val="tx1"/>
                                  </w14:solidFill>
                                </w14:textFill>
                              </w:rPr>
                              <w:t xml:space="preserve">Figure 3. The </w:t>
                            </w:r>
                            <w:r>
                              <w:rPr>
                                <w:rFonts w:hint="default"/>
                                <w:color w:val="000000" w:themeColor="text1"/>
                                <w:sz w:val="18"/>
                                <w:szCs w:val="18"/>
                                <w:lang w:val="en-US"/>
                                <w14:textFill>
                                  <w14:solidFill>
                                    <w14:schemeClr w14:val="tx1"/>
                                  </w14:solidFill>
                                </w14:textFill>
                              </w:rPr>
                              <w:t>F</w:t>
                            </w:r>
                            <w:r>
                              <w:rPr>
                                <w:color w:val="000000" w:themeColor="text1"/>
                                <w:sz w:val="18"/>
                                <w:szCs w:val="18"/>
                                <w14:textFill>
                                  <w14:solidFill>
                                    <w14:schemeClr w14:val="tx1"/>
                                  </w14:solidFill>
                                </w14:textFill>
                              </w:rPr>
                              <w:t xml:space="preserve">low </w:t>
                            </w:r>
                            <w:r>
                              <w:rPr>
                                <w:rFonts w:hint="default"/>
                                <w:color w:val="000000" w:themeColor="text1"/>
                                <w:sz w:val="18"/>
                                <w:szCs w:val="18"/>
                                <w:lang w:val="en-US"/>
                                <w14:textFill>
                                  <w14:solidFill>
                                    <w14:schemeClr w14:val="tx1"/>
                                  </w14:solidFill>
                                </w14:textFill>
                              </w:rPr>
                              <w:t>C</w:t>
                            </w:r>
                            <w:r>
                              <w:rPr>
                                <w:color w:val="000000" w:themeColor="text1"/>
                                <w:sz w:val="18"/>
                                <w:szCs w:val="18"/>
                                <w14:textFill>
                                  <w14:solidFill>
                                    <w14:schemeClr w14:val="tx1"/>
                                  </w14:solidFill>
                                </w14:textFill>
                              </w:rPr>
                              <w:t xml:space="preserve">hart of the CCCV </w:t>
                            </w:r>
                            <w:r>
                              <w:rPr>
                                <w:rFonts w:hint="default"/>
                                <w:color w:val="000000" w:themeColor="text1"/>
                                <w:sz w:val="18"/>
                                <w:szCs w:val="18"/>
                                <w:lang w:val="en-US"/>
                                <w14:textFill>
                                  <w14:solidFill>
                                    <w14:schemeClr w14:val="tx1"/>
                                  </w14:solidFill>
                                </w14:textFill>
                              </w:rPr>
                              <w:t>M</w:t>
                            </w:r>
                            <w:r>
                              <w:rPr>
                                <w:color w:val="000000" w:themeColor="text1"/>
                                <w:sz w:val="18"/>
                                <w:szCs w:val="18"/>
                                <w14:textFill>
                                  <w14:solidFill>
                                    <w14:schemeClr w14:val="tx1"/>
                                  </w14:solidFill>
                                </w14:textFill>
                              </w:rPr>
                              <w:t>ethod</w:t>
                            </w:r>
                          </w:p>
                          <w:p w14:paraId="2A0A6B0C">
                            <w:pPr>
                              <w:jc w:val="center"/>
                              <w:rPr>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5pt;margin-top:107.8pt;height:344.15pt;width:230.65pt;mso-wrap-distance-bottom:0pt;mso-wrap-distance-top:0pt;z-index:251665408;v-text-anchor:middle;mso-width-relative:page;mso-height-relative:page;" filled="f" stroked="f" coordsize="21600,21600" o:gfxdata="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sMmss2AAAAAgBAAAPAAAA&#10;AAAAAAEAIAAAACIAAABkcnMvZG93bnJldi54bWxQSwECFAAUAAAACACHTuJAkAthYcACAACRBQAA&#10;DgAAAAAAAAABACAAAAAnAQAAZHJzL2Uyb0RvYy54bWxQSwUGAAAAAAYABgBZAQAAWQYAAAAA&#10;">
                <v:fill on="f" focussize="0,0"/>
                <v:stroke on="f" weight="2pt"/>
                <v:imagedata o:title=""/>
                <o:lock v:ext="edit" aspectratio="f"/>
                <v:textbox>
                  <w:txbxContent>
                    <w:p w14:paraId="083DBFEE">
                      <w:pPr>
                        <w:ind w:firstLine="0"/>
                        <w:rPr>
                          <w:color w:val="000000" w:themeColor="text1"/>
                          <w:sz w:val="18"/>
                          <w:szCs w:val="18"/>
                          <w:lang w:val="en-GB"/>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2879725" cy="4112260"/>
                            <wp:effectExtent l="0" t="0" r="635" b="2540"/>
                            <wp:docPr id="2037429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29271"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79725" cy="4112548"/>
                                    </a:xfrm>
                                    <a:prstGeom prst="rect">
                                      <a:avLst/>
                                    </a:prstGeom>
                                    <a:noFill/>
                                    <a:ln>
                                      <a:noFill/>
                                    </a:ln>
                                  </pic:spPr>
                                </pic:pic>
                              </a:graphicData>
                            </a:graphic>
                          </wp:inline>
                        </w:drawing>
                      </w:r>
                    </w:p>
                    <w:p w14:paraId="18DC6456">
                      <w:pPr>
                        <w:ind w:left="0" w:leftChars="0" w:firstLine="0" w:firstLineChars="0"/>
                        <w:jc w:val="center"/>
                        <w:rPr>
                          <w:color w:val="000000" w:themeColor="text1"/>
                          <w:sz w:val="18"/>
                          <w:szCs w:val="18"/>
                          <w:lang w:val="en-GB"/>
                          <w14:textFill>
                            <w14:solidFill>
                              <w14:schemeClr w14:val="tx1"/>
                            </w14:solidFill>
                          </w14:textFill>
                        </w:rPr>
                      </w:pPr>
                      <w:r>
                        <w:rPr>
                          <w:color w:val="000000" w:themeColor="text1"/>
                          <w:sz w:val="18"/>
                          <w:szCs w:val="18"/>
                          <w14:textFill>
                            <w14:solidFill>
                              <w14:schemeClr w14:val="tx1"/>
                            </w14:solidFill>
                          </w14:textFill>
                        </w:rPr>
                        <w:t xml:space="preserve">Figure 3. The </w:t>
                      </w:r>
                      <w:r>
                        <w:rPr>
                          <w:rFonts w:hint="default"/>
                          <w:color w:val="000000" w:themeColor="text1"/>
                          <w:sz w:val="18"/>
                          <w:szCs w:val="18"/>
                          <w:lang w:val="en-US"/>
                          <w14:textFill>
                            <w14:solidFill>
                              <w14:schemeClr w14:val="tx1"/>
                            </w14:solidFill>
                          </w14:textFill>
                        </w:rPr>
                        <w:t>F</w:t>
                      </w:r>
                      <w:r>
                        <w:rPr>
                          <w:color w:val="000000" w:themeColor="text1"/>
                          <w:sz w:val="18"/>
                          <w:szCs w:val="18"/>
                          <w14:textFill>
                            <w14:solidFill>
                              <w14:schemeClr w14:val="tx1"/>
                            </w14:solidFill>
                          </w14:textFill>
                        </w:rPr>
                        <w:t xml:space="preserve">low </w:t>
                      </w:r>
                      <w:r>
                        <w:rPr>
                          <w:rFonts w:hint="default"/>
                          <w:color w:val="000000" w:themeColor="text1"/>
                          <w:sz w:val="18"/>
                          <w:szCs w:val="18"/>
                          <w:lang w:val="en-US"/>
                          <w14:textFill>
                            <w14:solidFill>
                              <w14:schemeClr w14:val="tx1"/>
                            </w14:solidFill>
                          </w14:textFill>
                        </w:rPr>
                        <w:t>C</w:t>
                      </w:r>
                      <w:r>
                        <w:rPr>
                          <w:color w:val="000000" w:themeColor="text1"/>
                          <w:sz w:val="18"/>
                          <w:szCs w:val="18"/>
                          <w14:textFill>
                            <w14:solidFill>
                              <w14:schemeClr w14:val="tx1"/>
                            </w14:solidFill>
                          </w14:textFill>
                        </w:rPr>
                        <w:t xml:space="preserve">hart of the CCCV </w:t>
                      </w:r>
                      <w:r>
                        <w:rPr>
                          <w:rFonts w:hint="default"/>
                          <w:color w:val="000000" w:themeColor="text1"/>
                          <w:sz w:val="18"/>
                          <w:szCs w:val="18"/>
                          <w:lang w:val="en-US"/>
                          <w14:textFill>
                            <w14:solidFill>
                              <w14:schemeClr w14:val="tx1"/>
                            </w14:solidFill>
                          </w14:textFill>
                        </w:rPr>
                        <w:t>M</w:t>
                      </w:r>
                      <w:r>
                        <w:rPr>
                          <w:color w:val="000000" w:themeColor="text1"/>
                          <w:sz w:val="18"/>
                          <w:szCs w:val="18"/>
                          <w14:textFill>
                            <w14:solidFill>
                              <w14:schemeClr w14:val="tx1"/>
                            </w14:solidFill>
                          </w14:textFill>
                        </w:rPr>
                        <w:t>ethod</w:t>
                      </w:r>
                    </w:p>
                    <w:p w14:paraId="2A0A6B0C">
                      <w:pPr>
                        <w:jc w:val="center"/>
                        <w:rPr>
                          <w:color w:val="000000" w:themeColor="text1"/>
                          <w:sz w:val="18"/>
                          <w:szCs w:val="18"/>
                          <w14:textFill>
                            <w14:solidFill>
                              <w14:schemeClr w14:val="tx1"/>
                            </w14:solidFill>
                          </w14:textFill>
                        </w:rPr>
                      </w:pPr>
                    </w:p>
                  </w:txbxContent>
                </v:textbox>
                <w10:wrap type="topAndBottom"/>
              </v:rect>
            </w:pict>
          </mc:Fallback>
        </mc:AlternateContent>
      </w:r>
      <w:r>
        <w:rPr>
          <w:color w:val="000000" w:themeColor="text1"/>
          <w14:textFill>
            <w14:solidFill>
              <w14:schemeClr w14:val="tx1"/>
            </w14:solidFill>
          </w14:textFill>
        </w:rPr>
        <w:t>The design and testing of the charging system involves the integration between hardware and software that support each other. A prototype charger was developed specifically by embedding a PID controller inside. These controllers are implemented in the form of embedded software that runs on microcontrollers or other embedded systems. The main function of this software is to process the sensor data and provide an appropriate response to changes in voltage and temperature during the battery charging process.</w:t>
      </w:r>
    </w:p>
    <w:p w14:paraId="376A0505">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14:textFill>
            <w14:solidFill>
              <w14:schemeClr w14:val="tx1"/>
            </w14:solidFill>
          </w14:textFill>
        </w:rPr>
      </w:pPr>
      <w:r>
        <w:rPr>
          <w:color w:val="000000" w:themeColor="text1"/>
          <w14:textFill>
            <w14:solidFill>
              <w14:schemeClr w14:val="tx1"/>
            </w14:solidFill>
          </w14:textFill>
        </w:rPr>
        <w:t>To thoroughly test the performance of the prototype, a series of tests were carried out using various battery models. Each type of battery has different characteristics, so it is important to ensure that the charging system is able to flexibly adjust the control parameters. Through this test, the performance of the PID controller can be evaluated, including its effectiveness in regulating current and voltage during the charging process. The results of this test are also the basis for improving the hardware and software so that the charging system is more optimal and adapts to various battery conditions.</w:t>
      </w:r>
      <w:r>
        <w:rPr>
          <w:rFonts w:ascii="Arial" w:hAnsi="Arial" w:cs="Arial" w:eastAsiaTheme="minorHAnsi"/>
          <w:color w:val="000000" w:themeColor="text1"/>
          <w:kern w:val="2"/>
          <w:sz w:val="22"/>
          <w14:textFill>
            <w14:solidFill>
              <w14:schemeClr w14:val="tx1"/>
            </w14:solidFill>
          </w14:textFill>
          <w14:ligatures w14:val="standardContextual"/>
        </w:rPr>
        <w:t xml:space="preserve"> </w:t>
      </w:r>
      <w:r>
        <w:rPr>
          <w:color w:val="000000" w:themeColor="text1"/>
          <w14:textFill>
            <w14:solidFill>
              <w14:schemeClr w14:val="tx1"/>
            </w14:solidFill>
          </w14:textFill>
        </w:rPr>
        <w:t>A prototype charger is developed with an embedded PID controller, and tests are conducted using different battery models. The photograph of the experimental setup of the system is shown in Figure 4.</w:t>
      </w:r>
    </w:p>
    <w:p w14:paraId="430A061B">
      <w:pPr>
        <w:pStyle w:val="2"/>
        <w:rPr>
          <w:color w:val="000000" w:themeColor="text1"/>
          <w14:textFill>
            <w14:solidFill>
              <w14:schemeClr w14:val="tx1"/>
            </w14:solidFill>
          </w14:textFill>
        </w:rPr>
      </w:pPr>
      <w:r>
        <w:rPr>
          <w:color w:val="000000" w:themeColor="text1"/>
          <w14:textFill>
            <w14:solidFill>
              <w14:schemeClr w14:val="tx1"/>
            </w14:solidFill>
          </w14:textFill>
        </w:rPr>
        <w:t xml:space="preserve">Results and Discussion </w:t>
      </w:r>
    </w:p>
    <w:p w14:paraId="3A22B8DF">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The measurement results show in Figure 5 that the charging process occurs in three main phases that are common in PWM-based battery charging systems: bulk, absorption, and float charging. In the initial phase (0–30 minutes), the charging current is in a relatively stable high range, around 0.8 A. This indicates that the system prioritizes fast charging to efficiently fill the battery capacity. After the 30th minute, the current begins to decrease gradually until it reaches 0 A at the 90th minute, indicating the system's transition to the absorption phase and then the float phase, where charging is carried out more slowly to maintain battery life and avoid overcharging.</w:t>
      </w:r>
    </w:p>
    <w:p w14:paraId="49F2425E">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Meanwhile, the charging voltage shows an increasing trend from around 11.6 V to around 12.6 V. A significant increase occurs between the 30th and 35th minutes, coinciding with the decrease in current, indicating the system entering the absorption phase. After reaching the maximum point, the voltage tends to remain stable with small fluctuations, indicating precise voltage control during the charging process.</w:t>
      </w:r>
    </w:p>
    <w:p w14:paraId="702A1FDC">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-238760</wp:posOffset>
                </wp:positionH>
                <wp:positionV relativeFrom="paragraph">
                  <wp:posOffset>312420</wp:posOffset>
                </wp:positionV>
                <wp:extent cx="3180080" cy="2835910"/>
                <wp:effectExtent l="0" t="0" r="0" b="0"/>
                <wp:wrapTopAndBottom/>
                <wp:docPr id="11" name="Rectangles 11"/>
                <wp:cNvGraphicFramePr/>
                <a:graphic xmlns:a="http://schemas.openxmlformats.org/drawingml/2006/main">
                  <a:graphicData uri="http://schemas.microsoft.com/office/word/2010/wordprocessingShape">
                    <wps:wsp>
                      <wps:cNvSpPr/>
                      <wps:spPr>
                        <a:xfrm>
                          <a:off x="854710" y="7948295"/>
                          <a:ext cx="3180080" cy="2835910"/>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2CAD15DB">
                            <w:pPr>
                              <w:ind w:firstLine="0"/>
                              <w:jc w:val="center"/>
                              <w:rPr>
                                <w:b w:val="0"/>
                                <w:bCs w:val="0"/>
                                <w:color w:val="000000" w:themeColor="text1"/>
                                <w:sz w:val="18"/>
                                <w:szCs w:val="18"/>
                                <w:lang w:val="en-US"/>
                                <w14:textFill>
                                  <w14:solidFill>
                                    <w14:schemeClr w14:val="tx1"/>
                                  </w14:solidFill>
                                </w14:textFill>
                              </w:rPr>
                            </w:pPr>
                            <w:r>
                              <w:rPr>
                                <w:b w:val="0"/>
                                <w:bCs w:val="0"/>
                                <w:color w:val="000000" w:themeColor="text1"/>
                                <w:sz w:val="18"/>
                                <w:szCs w:val="18"/>
                                <w14:textFill>
                                  <w14:solidFill>
                                    <w14:schemeClr w14:val="tx1"/>
                                  </w14:solidFill>
                                </w14:textFill>
                              </w:rPr>
                              <w:drawing>
                                <wp:inline distT="0" distB="0" distL="0" distR="0">
                                  <wp:extent cx="3045460" cy="2569210"/>
                                  <wp:effectExtent l="0" t="0" r="0" b="0"/>
                                  <wp:docPr id="664887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87847" name="Picture 3"/>
                                          <pic:cNvPicPr>
                                            <a:picLocks noChangeAspect="1" noChangeArrowheads="1"/>
                                          </pic:cNvPicPr>
                                        </pic:nvPicPr>
                                        <pic:blipFill>
                                          <a:blip r:embed="rId14">
                                            <a:extLst>
                                              <a:ext uri="{28A0092B-C50C-407E-A947-70E740481C1C}">
                                                <a14:useLocalDpi xmlns:a14="http://schemas.microsoft.com/office/drawing/2010/main" val="0"/>
                                              </a:ext>
                                            </a:extLst>
                                          </a:blip>
                                          <a:srcRect l="-1510" r="443"/>
                                          <a:stretch>
                                            <a:fillRect/>
                                          </a:stretch>
                                        </pic:blipFill>
                                        <pic:spPr>
                                          <a:xfrm>
                                            <a:off x="0" y="0"/>
                                            <a:ext cx="3045460" cy="2574161"/>
                                          </a:xfrm>
                                          <a:prstGeom prst="rect">
                                            <a:avLst/>
                                          </a:prstGeom>
                                          <a:noFill/>
                                          <a:ln>
                                            <a:noFill/>
                                          </a:ln>
                                        </pic:spPr>
                                      </pic:pic>
                                    </a:graphicData>
                                  </a:graphic>
                                </wp:inline>
                              </w:drawing>
                            </w:r>
                          </w:p>
                          <w:p w14:paraId="2D4352B9">
                            <w:pPr>
                              <w:ind w:left="0" w:leftChars="0" w:firstLine="0" w:firstLineChars="0"/>
                              <w:jc w:val="center"/>
                              <w:rPr>
                                <w:b w:val="0"/>
                                <w:bCs w:val="0"/>
                                <w:color w:val="000000" w:themeColor="text1"/>
                                <w:sz w:val="18"/>
                                <w:szCs w:val="18"/>
                                <w:lang w:val="en-US"/>
                                <w14:textFill>
                                  <w14:solidFill>
                                    <w14:schemeClr w14:val="tx1"/>
                                  </w14:solidFill>
                                </w14:textFill>
                              </w:rPr>
                            </w:pPr>
                            <w:r>
                              <w:rPr>
                                <w:b w:val="0"/>
                                <w:bCs w:val="0"/>
                                <w:color w:val="000000" w:themeColor="text1"/>
                                <w:sz w:val="18"/>
                                <w:szCs w:val="18"/>
                                <w14:textFill>
                                  <w14:solidFill>
                                    <w14:schemeClr w14:val="tx1"/>
                                  </w14:solidFill>
                                </w14:textFill>
                              </w:rPr>
                              <w:t xml:space="preserve">Figure 4. </w:t>
                            </w:r>
                            <w:r>
                              <w:rPr>
                                <w:b w:val="0"/>
                                <w:bCs w:val="0"/>
                                <w:color w:val="000000" w:themeColor="text1"/>
                                <w:sz w:val="18"/>
                                <w:szCs w:val="18"/>
                                <w:lang w:val="en-US"/>
                                <w14:textFill>
                                  <w14:solidFill>
                                    <w14:schemeClr w14:val="tx1"/>
                                  </w14:solidFill>
                                </w14:textFill>
                              </w:rPr>
                              <w:t>E</w:t>
                            </w:r>
                            <w:r>
                              <w:rPr>
                                <w:b w:val="0"/>
                                <w:bCs w:val="0"/>
                                <w:color w:val="000000" w:themeColor="text1"/>
                                <w:sz w:val="18"/>
                                <w:szCs w:val="18"/>
                                <w14:textFill>
                                  <w14:solidFill>
                                    <w14:schemeClr w14:val="tx1"/>
                                  </w14:solidFill>
                                </w14:textFill>
                              </w:rPr>
                              <w:t xml:space="preserve">xperimental </w:t>
                            </w:r>
                            <w:r>
                              <w:rPr>
                                <w:rFonts w:hint="default"/>
                                <w:b w:val="0"/>
                                <w:bCs w:val="0"/>
                                <w:color w:val="000000" w:themeColor="text1"/>
                                <w:sz w:val="18"/>
                                <w:szCs w:val="18"/>
                                <w:lang w:val="en-US"/>
                                <w14:textFill>
                                  <w14:solidFill>
                                    <w14:schemeClr w14:val="tx1"/>
                                  </w14:solidFill>
                                </w14:textFill>
                              </w:rPr>
                              <w:t>S</w:t>
                            </w:r>
                            <w:r>
                              <w:rPr>
                                <w:b w:val="0"/>
                                <w:bCs w:val="0"/>
                                <w:color w:val="000000" w:themeColor="text1"/>
                                <w:sz w:val="18"/>
                                <w:szCs w:val="18"/>
                                <w14:textFill>
                                  <w14:solidFill>
                                    <w14:schemeClr w14:val="tx1"/>
                                  </w14:solidFill>
                                </w14:textFill>
                              </w:rPr>
                              <w:t>etup</w:t>
                            </w:r>
                          </w:p>
                          <w:p w14:paraId="205D3E52">
                            <w:pPr>
                              <w:ind w:left="0" w:leftChars="0" w:firstLine="0" w:firstLineChars="0"/>
                              <w:jc w:val="center"/>
                              <w:rPr>
                                <w:b w:val="0"/>
                                <w:bCs w:val="0"/>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pt;margin-top:24.6pt;height:223.3pt;width:250.4pt;mso-wrap-distance-bottom:0pt;mso-wrap-distance-top:0pt;z-index:251666432;v-text-anchor:middle;mso-width-relative:page;mso-height-relative:page;" filled="f" stroked="f" coordsize="21600,21600" o:gfxdata="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1TPxjZAAAACgEAAA8A&#10;AAAAAAAAAQAgAAAAIgAAAGRycy9kb3ducmV2LnhtbFBLAQIUABQAAAAIAIdO4kDTskRpwQIAAJAF&#10;AAAOAAAAAAAAAAEAIAAAACgBAABkcnMvZTJvRG9jLnhtbFBLBQYAAAAABgAGAFkBAABbBgAAAAA=&#10;">
                <v:fill on="f" focussize="0,0"/>
                <v:stroke on="f" weight="2pt"/>
                <v:imagedata o:title=""/>
                <o:lock v:ext="edit" aspectratio="f"/>
                <v:textbox>
                  <w:txbxContent>
                    <w:p w14:paraId="2CAD15DB">
                      <w:pPr>
                        <w:ind w:firstLine="0"/>
                        <w:jc w:val="center"/>
                        <w:rPr>
                          <w:b w:val="0"/>
                          <w:bCs w:val="0"/>
                          <w:color w:val="000000" w:themeColor="text1"/>
                          <w:sz w:val="18"/>
                          <w:szCs w:val="18"/>
                          <w:lang w:val="en-US"/>
                          <w14:textFill>
                            <w14:solidFill>
                              <w14:schemeClr w14:val="tx1"/>
                            </w14:solidFill>
                          </w14:textFill>
                        </w:rPr>
                      </w:pPr>
                      <w:r>
                        <w:rPr>
                          <w:b w:val="0"/>
                          <w:bCs w:val="0"/>
                          <w:color w:val="000000" w:themeColor="text1"/>
                          <w:sz w:val="18"/>
                          <w:szCs w:val="18"/>
                          <w14:textFill>
                            <w14:solidFill>
                              <w14:schemeClr w14:val="tx1"/>
                            </w14:solidFill>
                          </w14:textFill>
                        </w:rPr>
                        <w:drawing>
                          <wp:inline distT="0" distB="0" distL="0" distR="0">
                            <wp:extent cx="3045460" cy="2569210"/>
                            <wp:effectExtent l="0" t="0" r="0" b="0"/>
                            <wp:docPr id="664887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87847" name="Picture 3"/>
                                    <pic:cNvPicPr>
                                      <a:picLocks noChangeAspect="1" noChangeArrowheads="1"/>
                                    </pic:cNvPicPr>
                                  </pic:nvPicPr>
                                  <pic:blipFill>
                                    <a:blip r:embed="rId14">
                                      <a:extLst>
                                        <a:ext uri="{28A0092B-C50C-407E-A947-70E740481C1C}">
                                          <a14:useLocalDpi xmlns:a14="http://schemas.microsoft.com/office/drawing/2010/main" val="0"/>
                                        </a:ext>
                                      </a:extLst>
                                    </a:blip>
                                    <a:srcRect l="-1510" r="443"/>
                                    <a:stretch>
                                      <a:fillRect/>
                                    </a:stretch>
                                  </pic:blipFill>
                                  <pic:spPr>
                                    <a:xfrm>
                                      <a:off x="0" y="0"/>
                                      <a:ext cx="3045460" cy="2574161"/>
                                    </a:xfrm>
                                    <a:prstGeom prst="rect">
                                      <a:avLst/>
                                    </a:prstGeom>
                                    <a:noFill/>
                                    <a:ln>
                                      <a:noFill/>
                                    </a:ln>
                                  </pic:spPr>
                                </pic:pic>
                              </a:graphicData>
                            </a:graphic>
                          </wp:inline>
                        </w:drawing>
                      </w:r>
                    </w:p>
                    <w:p w14:paraId="2D4352B9">
                      <w:pPr>
                        <w:ind w:left="0" w:leftChars="0" w:firstLine="0" w:firstLineChars="0"/>
                        <w:jc w:val="center"/>
                        <w:rPr>
                          <w:b w:val="0"/>
                          <w:bCs w:val="0"/>
                          <w:color w:val="000000" w:themeColor="text1"/>
                          <w:sz w:val="18"/>
                          <w:szCs w:val="18"/>
                          <w:lang w:val="en-US"/>
                          <w14:textFill>
                            <w14:solidFill>
                              <w14:schemeClr w14:val="tx1"/>
                            </w14:solidFill>
                          </w14:textFill>
                        </w:rPr>
                      </w:pPr>
                      <w:r>
                        <w:rPr>
                          <w:b w:val="0"/>
                          <w:bCs w:val="0"/>
                          <w:color w:val="000000" w:themeColor="text1"/>
                          <w:sz w:val="18"/>
                          <w:szCs w:val="18"/>
                          <w14:textFill>
                            <w14:solidFill>
                              <w14:schemeClr w14:val="tx1"/>
                            </w14:solidFill>
                          </w14:textFill>
                        </w:rPr>
                        <w:t xml:space="preserve">Figure 4. </w:t>
                      </w:r>
                      <w:r>
                        <w:rPr>
                          <w:b w:val="0"/>
                          <w:bCs w:val="0"/>
                          <w:color w:val="000000" w:themeColor="text1"/>
                          <w:sz w:val="18"/>
                          <w:szCs w:val="18"/>
                          <w:lang w:val="en-US"/>
                          <w14:textFill>
                            <w14:solidFill>
                              <w14:schemeClr w14:val="tx1"/>
                            </w14:solidFill>
                          </w14:textFill>
                        </w:rPr>
                        <w:t>E</w:t>
                      </w:r>
                      <w:r>
                        <w:rPr>
                          <w:b w:val="0"/>
                          <w:bCs w:val="0"/>
                          <w:color w:val="000000" w:themeColor="text1"/>
                          <w:sz w:val="18"/>
                          <w:szCs w:val="18"/>
                          <w14:textFill>
                            <w14:solidFill>
                              <w14:schemeClr w14:val="tx1"/>
                            </w14:solidFill>
                          </w14:textFill>
                        </w:rPr>
                        <w:t xml:space="preserve">xperimental </w:t>
                      </w:r>
                      <w:r>
                        <w:rPr>
                          <w:rFonts w:hint="default"/>
                          <w:b w:val="0"/>
                          <w:bCs w:val="0"/>
                          <w:color w:val="000000" w:themeColor="text1"/>
                          <w:sz w:val="18"/>
                          <w:szCs w:val="18"/>
                          <w:lang w:val="en-US"/>
                          <w14:textFill>
                            <w14:solidFill>
                              <w14:schemeClr w14:val="tx1"/>
                            </w14:solidFill>
                          </w14:textFill>
                        </w:rPr>
                        <w:t>S</w:t>
                      </w:r>
                      <w:r>
                        <w:rPr>
                          <w:b w:val="0"/>
                          <w:bCs w:val="0"/>
                          <w:color w:val="000000" w:themeColor="text1"/>
                          <w:sz w:val="18"/>
                          <w:szCs w:val="18"/>
                          <w14:textFill>
                            <w14:solidFill>
                              <w14:schemeClr w14:val="tx1"/>
                            </w14:solidFill>
                          </w14:textFill>
                        </w:rPr>
                        <w:t>etup</w:t>
                      </w:r>
                    </w:p>
                    <w:p w14:paraId="205D3E52">
                      <w:pPr>
                        <w:ind w:left="0" w:leftChars="0" w:firstLine="0" w:firstLineChars="0"/>
                        <w:jc w:val="center"/>
                        <w:rPr>
                          <w:b w:val="0"/>
                          <w:bCs w:val="0"/>
                          <w:color w:val="000000" w:themeColor="text1"/>
                          <w:sz w:val="18"/>
                          <w:szCs w:val="18"/>
                          <w14:textFill>
                            <w14:solidFill>
                              <w14:schemeClr w14:val="tx1"/>
                            </w14:solidFill>
                          </w14:textFill>
                        </w:rPr>
                      </w:pPr>
                    </w:p>
                  </w:txbxContent>
                </v:textbox>
                <w10:wrap type="topAndBottom"/>
              </v:rect>
            </w:pict>
          </mc:Fallback>
        </mc:AlternateContent>
      </w:r>
      <w:r>
        <w:rPr>
          <w:color w:val="000000" w:themeColor="text1"/>
          <w:lang w:val="en-GB"/>
          <w14:textFill>
            <w14:solidFill>
              <w14:schemeClr w14:val="tx1"/>
            </w14:solidFill>
          </w14:textFill>
        </w:rPr>
        <w:t>Furthermore, observation of the duty cycle strengthens the interpretation of the current and voltage behavior. The duty cycle value was initially stable at around 150%, then spiked to around 225% at the 35th minute, which was in line with the voltage spike. After that, the duty cycle decreased gradually until it reached 0% at the end of the charging process. This trend indicates that the system actively adjusts the PWM signal to control the amount of current and voltage transmitted to the battery.</w:t>
      </w:r>
    </w:p>
    <w:p w14:paraId="07604C71">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 xml:space="preserve">In general, the working pattern of the charging system recorded in the graph shows that the charging method with duty cycle control is effective in managing the charging process efficiently and safely. There are no abnormal voltage or current spikes, so it can be concluded that the system works stably and adapts to battery charging conditions. </w:t>
      </w:r>
    </w:p>
    <w:p w14:paraId="248FFDF8">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US"/>
          <w14:textFill>
            <w14:solidFill>
              <w14:schemeClr w14:val="tx1"/>
            </w14:solidFill>
          </w14:textFill>
        </w:rPr>
      </w:pPr>
      <w:r>
        <w:rPr>
          <w:color w:val="000000" w:themeColor="text1"/>
          <w14:textFill>
            <w14:solidFill>
              <w14:schemeClr w14:val="tx1"/>
            </w14:solidFill>
          </w14:textFill>
        </w:rPr>
        <w:t>The energy efficiency of the proposed system was evaluated by comparing the charging time and current profile with that of the conventional CCCV method. The PID-controlled charger completed the charging process in approximately 85 minutes, compared to 145 minutes for the conventional method. This reduction in charge duration reflects a more effective energy transfer process and lower idle current losses, which translates to a reduction in overall power consumption. Furthermore, stable control of the charging current during the bulk phase, without overshoot or prolonged tapering, minimizes energy waste and enhances total system efficiency.</w:t>
      </w:r>
      <w:r>
        <w:rPr>
          <w:color w:val="000000" w:themeColor="text1"/>
          <w:lang w:val="en-US"/>
          <w14:textFill>
            <w14:solidFill>
              <w14:schemeClr w14:val="tx1"/>
            </w14:solidFill>
          </w14:textFill>
        </w:rPr>
        <w:t xml:space="preserve"> </w:t>
      </w:r>
    </w:p>
    <w:p w14:paraId="758ED0C2">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Although temperature data was not explicitly recorded during testing, the design of the PID controller contributed to effective thermal management. The smooth transition from the CC to CV phase, without sharp current spikes, helps reduce thermal stress on the battery. Additionally, the absence of current overshoot and the gradual tapering of current imply that the system avoids sudden power surges that could cause overheating. In future work, thermal data logging will be incorporated to quantitatively validate this behavior.</w:t>
      </w:r>
    </w:p>
    <w:p w14:paraId="5B8523FD">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safety of the system is reinforced by the implementation of closed-loop PID control, which prevents both overcurrent and overvoltage conditions. Once the predefined voltage limit is reached, the system transitions to the CV phase, effectively stopping the current rise and avoiding overcharging. Throughout the charging process, the system maintained both voltage and current within the safe operating limits of the battery. No abnormal spikes or instability was observed in the measurements, indicating that the control mechanism ensures safe and reliable operation.</w:t>
      </w:r>
    </w:p>
    <w:p w14:paraId="61DD227E">
      <w:pPr>
        <w:pStyle w:val="3"/>
        <w:numPr>
          <w:ilvl w:val="0"/>
          <w:numId w:val="0"/>
        </w:numPr>
        <w:rPr>
          <w:color w:val="000000" w:themeColor="text1"/>
          <w14:textFill>
            <w14:solidFill>
              <w14:schemeClr w14:val="tx1"/>
            </w14:solidFill>
          </w14:textFill>
        </w:rPr>
      </w:pPr>
      <w:r>
        <w:rPr>
          <w:color w:val="000000" w:themeColor="text1"/>
          <w:lang w:val="en-US"/>
          <w14:textFill>
            <w14:solidFill>
              <w14:schemeClr w14:val="tx1"/>
            </w14:solidFill>
          </w14:textFill>
        </w:rPr>
        <w:t xml:space="preserve">A. </w:t>
      </w:r>
      <w:r>
        <w:rPr>
          <w:rFonts w:hint="default"/>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Performance Analysis </w:t>
      </w:r>
    </w:p>
    <w:p w14:paraId="7B811BE7">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US"/>
          <w14:textFill>
            <w14:solidFill>
              <w14:schemeClr w14:val="tx1"/>
            </w14:solidFill>
          </w14:textFill>
        </w:rPr>
      </w:pPr>
      <w:r>
        <w:rPr>
          <w:color w:val="000000" w:themeColor="text1"/>
          <w14:textFill>
            <w14:solidFill>
              <w14:schemeClr w14:val="tx1"/>
            </w14:solidFill>
          </w14:textFill>
        </w:rPr>
        <w:t>The results of the analysis show that the PID-controlled charging system is able to achieve a faster and more efficient charging process compared to the conventional CCCV method. On the basis of the graph, the charging current in the initial stage can be kept stably high, allowing the battery to be charged quickly in the bulk phase. Adaptive duty cycle control allows for a smooth transition to the absorption and float phases, with a gradual decrease in current and precisely controlled voltage. This not only improves charging efficiency, but also minimizes power losses. In addition, no significant voltage overshoot was detected, indicating that the PID system successfully stabilized the voltage within a safe range during the charging process. This reduction in overshoot is very important because it contributes to reducing the increase in temperature in the battery, maintaining thermal stability, and extending the service life. Thus, the PID-based charging system not only offers better energy efficiency but also improves overall battery charging safety and reliability.</w:t>
      </w:r>
      <w:r>
        <w:rPr>
          <w:color w:val="000000" w:themeColor="text1"/>
          <w:lang w:val="en-US"/>
          <w14:textFill>
            <w14:solidFill>
              <w14:schemeClr w14:val="tx1"/>
            </w14:solidFill>
          </w14:textFill>
        </w:rPr>
        <w:t xml:space="preserve"> </w:t>
      </w:r>
    </w:p>
    <w:p w14:paraId="25D2D573">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precision of the controlled voltage can be evaluated based on the voltage trend shown in Figure 5. During the CV phase, the voltage stabilizes at approximately 12.6 V with only minor fluctuations of ±0.05 V, remaining within 0.4% deviation from the setpoint. This level of deviation is considered acceptable for lithium-ion charging systems and indicates effective voltage regulation by the PID controller. The absence of any voltage overshoot throughout the charging period further confirms the accuracy of the voltage control.</w:t>
      </w:r>
    </w:p>
    <w:p w14:paraId="23186ED9">
      <w:pPr>
        <w:pStyle w:val="3"/>
        <w:numPr>
          <w:ilvl w:val="0"/>
          <w:numId w:val="10"/>
        </w:numPr>
        <w:rPr>
          <w:color w:val="000000" w:themeColor="text1"/>
          <w14:textFill>
            <w14:solidFill>
              <w14:schemeClr w14:val="tx1"/>
            </w14:solidFill>
          </w14:textFill>
        </w:rPr>
      </w:pPr>
      <w:r>
        <w:rPr>
          <w:color w:val="000000" w:themeColor="text1"/>
          <w:lang w:val="en-US"/>
          <w14:textFill>
            <w14:solidFill>
              <w14:schemeClr w14:val="tx1"/>
            </w14:solidFill>
          </w14:textFill>
        </w:rPr>
        <w:t xml:space="preserve">Current and Voltage Stability </w:t>
      </w:r>
    </w:p>
    <w:p w14:paraId="7B612D1B">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sz w:val="20"/>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-19685</wp:posOffset>
                </wp:positionH>
                <wp:positionV relativeFrom="paragraph">
                  <wp:posOffset>1427480</wp:posOffset>
                </wp:positionV>
                <wp:extent cx="5984875" cy="4038600"/>
                <wp:effectExtent l="0" t="0" r="0" b="0"/>
                <wp:wrapTopAndBottom/>
                <wp:docPr id="12" name="Rectangles 12"/>
                <wp:cNvGraphicFramePr/>
                <a:graphic xmlns:a="http://schemas.openxmlformats.org/drawingml/2006/main">
                  <a:graphicData uri="http://schemas.microsoft.com/office/word/2010/wordprocessingShape">
                    <wps:wsp>
                      <wps:cNvSpPr/>
                      <wps:spPr>
                        <a:xfrm>
                          <a:off x="948055" y="4958080"/>
                          <a:ext cx="5984875" cy="4038600"/>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3276EC8E">
                            <w:pPr>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5553075" cy="377698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564750" cy="3785552"/>
                                          </a:xfrm>
                                          <a:prstGeom prst="rect">
                                            <a:avLst/>
                                          </a:prstGeom>
                                          <a:noFill/>
                                          <a:ln>
                                            <a:noFill/>
                                          </a:ln>
                                        </pic:spPr>
                                      </pic:pic>
                                    </a:graphicData>
                                  </a:graphic>
                                </wp:inline>
                              </w:drawing>
                            </w:r>
                          </w:p>
                          <w:p w14:paraId="5CAAE835">
                            <w:pPr>
                              <w:ind w:left="0" w:leftChars="0" w:firstLine="0" w:firstLineChars="0"/>
                              <w:jc w:val="center"/>
                              <w:rPr>
                                <w:color w:val="000000" w:themeColor="text1"/>
                                <w:sz w:val="18"/>
                                <w:szCs w:val="18"/>
                                <w14:textFill>
                                  <w14:solidFill>
                                    <w14:schemeClr w14:val="tx1"/>
                                  </w14:solidFill>
                                </w14:textFill>
                              </w:rPr>
                            </w:pPr>
                            <w:r>
                              <w:rPr>
                                <w:b w:val="0"/>
                                <w:bCs w:val="0"/>
                                <w:color w:val="000000" w:themeColor="text1"/>
                                <w:sz w:val="18"/>
                                <w:szCs w:val="16"/>
                                <w14:textFill>
                                  <w14:solidFill>
                                    <w14:schemeClr w14:val="tx1"/>
                                  </w14:solidFill>
                                </w14:textFill>
                              </w:rPr>
                              <w:t>Figure 5</w:t>
                            </w:r>
                            <w:r>
                              <w:rPr>
                                <w:color w:val="000000" w:themeColor="text1"/>
                                <w:sz w:val="18"/>
                                <w:szCs w:val="18"/>
                                <w14:textFill>
                                  <w14:solidFill>
                                    <w14:schemeClr w14:val="tx1"/>
                                  </w14:solidFill>
                                </w14:textFill>
                              </w:rPr>
                              <w:t>. Graph of the Relationship Between Current, Voltage and Duty Cycle</w:t>
                            </w:r>
                          </w:p>
                          <w:p w14:paraId="73A6D2AC">
                            <w:pPr>
                              <w:jc w:val="center"/>
                              <w:rPr>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pt;margin-top:112.4pt;height:318pt;width:471.25pt;mso-wrap-distance-bottom:0pt;mso-wrap-distance-top:0pt;z-index:251667456;v-text-anchor:middle;mso-width-relative:page;mso-height-relative:page;" filled="f" stroked="f" coordsize="21600,21600" o:gfxdata="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RAPRNkAAAAKAQAADwAA&#10;AAAAAAABACAAAAAiAAAAZHJzL2Rvd25yZXYueG1sUEsBAhQAFAAAAAgAh07iQHFX0jrAAgAAkAUA&#10;AA4AAAAAAAAAAQAgAAAAKAEAAGRycy9lMm9Eb2MueG1sUEsFBgAAAAAGAAYAWQEAAFoGAAAAAA==&#10;">
                <v:fill on="f" focussize="0,0"/>
                <v:stroke on="f" weight="2pt"/>
                <v:imagedata o:title=""/>
                <o:lock v:ext="edit" aspectratio="f"/>
                <v:textbox>
                  <w:txbxContent>
                    <w:p w14:paraId="3276EC8E">
                      <w:pPr>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5553075" cy="377698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564750" cy="3785552"/>
                                    </a:xfrm>
                                    <a:prstGeom prst="rect">
                                      <a:avLst/>
                                    </a:prstGeom>
                                    <a:noFill/>
                                    <a:ln>
                                      <a:noFill/>
                                    </a:ln>
                                  </pic:spPr>
                                </pic:pic>
                              </a:graphicData>
                            </a:graphic>
                          </wp:inline>
                        </w:drawing>
                      </w:r>
                    </w:p>
                    <w:p w14:paraId="5CAAE835">
                      <w:pPr>
                        <w:ind w:left="0" w:leftChars="0" w:firstLine="0" w:firstLineChars="0"/>
                        <w:jc w:val="center"/>
                        <w:rPr>
                          <w:color w:val="000000" w:themeColor="text1"/>
                          <w:sz w:val="18"/>
                          <w:szCs w:val="18"/>
                          <w14:textFill>
                            <w14:solidFill>
                              <w14:schemeClr w14:val="tx1"/>
                            </w14:solidFill>
                          </w14:textFill>
                        </w:rPr>
                      </w:pPr>
                      <w:r>
                        <w:rPr>
                          <w:b w:val="0"/>
                          <w:bCs w:val="0"/>
                          <w:color w:val="000000" w:themeColor="text1"/>
                          <w:sz w:val="18"/>
                          <w:szCs w:val="16"/>
                          <w14:textFill>
                            <w14:solidFill>
                              <w14:schemeClr w14:val="tx1"/>
                            </w14:solidFill>
                          </w14:textFill>
                        </w:rPr>
                        <w:t>Figure 5</w:t>
                      </w:r>
                      <w:r>
                        <w:rPr>
                          <w:color w:val="000000" w:themeColor="text1"/>
                          <w:sz w:val="18"/>
                          <w:szCs w:val="18"/>
                          <w14:textFill>
                            <w14:solidFill>
                              <w14:schemeClr w14:val="tx1"/>
                            </w14:solidFill>
                          </w14:textFill>
                        </w:rPr>
                        <w:t>. Graph of the Relationship Between Current, Voltage and Duty Cycle</w:t>
                      </w:r>
                    </w:p>
                    <w:p w14:paraId="73A6D2AC">
                      <w:pPr>
                        <w:jc w:val="center"/>
                        <w:rPr>
                          <w:color w:val="000000" w:themeColor="text1"/>
                          <w:sz w:val="18"/>
                          <w:szCs w:val="18"/>
                          <w14:textFill>
                            <w14:solidFill>
                              <w14:schemeClr w14:val="tx1"/>
                            </w14:solidFill>
                          </w14:textFill>
                        </w:rPr>
                      </w:pPr>
                    </w:p>
                  </w:txbxContent>
                </v:textbox>
                <w10:wrap type="topAndBottom"/>
              </v:rect>
            </w:pict>
          </mc:Fallback>
        </mc:AlternateContent>
      </w:r>
      <w:r>
        <w:rPr>
          <w:color w:val="000000" w:themeColor="text1"/>
          <w:lang w:val="en-GB"/>
          <w14:textFill>
            <w14:solidFill>
              <w14:schemeClr w14:val="tx1"/>
            </w14:solidFill>
          </w14:textFill>
        </w:rPr>
        <w:t>The stability of current and voltage are crucial factors in maintaining battery performance and longevity. The PID control system applied to the charging process has been proven to minimize temperature fluctuations by dynamically adjusting the charging current according to the real-time conditions of the battery. From the graph, it can be seen that the current gradually decreases over time, without any sharp fluctuations, indicating a stable system response to changes in charging status. This has a direct impact on the thermal stability of the battery, reducing the risk of overheating during charging.</w:t>
      </w:r>
    </w:p>
    <w:p w14:paraId="5A0C6070">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However, the voltage is also controlled very stably. After experiencing a gradual increase at the beginning, the voltage is maintained at a safe upper limit without experiencing an overshoot. This control plays an important role in preventing overcharging, which can damage the chemical structure of the battery and reduce the cycle efficiency. With consistent voltage stabilization, the system not only maintains safety during charging but also significantly increases overall battery life.</w:t>
      </w:r>
    </w:p>
    <w:p w14:paraId="0262B0E7">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The PID control system applied to the charging process minimizes current fluctuations by dynamically adjusting the charging current according to the real-time condition of the battery. Although temperature monitoring was not implemented in this experiment, gradual current tampering and absence of current overshoot inherently reduce the risk of thermal stress. Future studies will include integrated temperature sensing to directly validate the thermal behavior of the system.</w:t>
      </w:r>
    </w:p>
    <w:p w14:paraId="69E1855F">
      <w:pPr>
        <w:pStyle w:val="3"/>
        <w:rPr>
          <w:color w:val="000000" w:themeColor="text1"/>
          <w:lang w:val="en-US"/>
          <w14:textFill>
            <w14:solidFill>
              <w14:schemeClr w14:val="tx1"/>
            </w14:solidFill>
          </w14:textFill>
        </w:rPr>
      </w:pPr>
      <w:r>
        <w:rPr>
          <w:color w:val="000000" w:themeColor="text1"/>
          <w:lang w:val="en-US"/>
          <w14:textFill>
            <w14:solidFill>
              <w14:schemeClr w14:val="tx1"/>
            </w14:solidFill>
          </w14:textFill>
        </w:rPr>
        <w:t>Comparison with Conventional Methods</w:t>
      </w:r>
    </w:p>
    <w:p w14:paraId="0BC67C2F">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The comparison graph between the PID-controlled charging method and the conventional method is shown in figure 6. Significant differences in current and voltage characteristics during the battery charging process. In the left graph, it can be seen that the PID-controlled system maintains the charging current at a high level, which is around 0.85 A, for almost the first 40 minutes. In contrast, the conventional system shows a faster current decrease, starting to drop drastically after the 10th minute. This indicates that the PID-</w:t>
      </w:r>
      <w:bookmarkStart w:id="1" w:name="_GoBack"/>
      <w:bookmarkEnd w:id="1"/>
      <w:r>
        <w:rPr>
          <w:color w:val="000000" w:themeColor="text1"/>
          <w:sz w:val="20"/>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-111125</wp:posOffset>
                </wp:positionH>
                <wp:positionV relativeFrom="paragraph">
                  <wp:posOffset>-43180</wp:posOffset>
                </wp:positionV>
                <wp:extent cx="6103620" cy="2827655"/>
                <wp:effectExtent l="0" t="0" r="0" b="0"/>
                <wp:wrapTopAndBottom/>
                <wp:docPr id="13" name="Rectangles 13"/>
                <wp:cNvGraphicFramePr/>
                <a:graphic xmlns:a="http://schemas.openxmlformats.org/drawingml/2006/main">
                  <a:graphicData uri="http://schemas.microsoft.com/office/word/2010/wordprocessingShape">
                    <wps:wsp>
                      <wps:cNvSpPr/>
                      <wps:spPr>
                        <a:xfrm>
                          <a:off x="889000" y="753110"/>
                          <a:ext cx="6103620" cy="2827655"/>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2470C137">
                            <w:pPr>
                              <w:ind w:left="0" w:leftChars="0"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5907405" cy="256921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07405" cy="2569210"/>
                                          </a:xfrm>
                                          <a:prstGeom prst="rect">
                                            <a:avLst/>
                                          </a:prstGeom>
                                          <a:noFill/>
                                          <a:ln>
                                            <a:noFill/>
                                          </a:ln>
                                        </pic:spPr>
                                      </pic:pic>
                                    </a:graphicData>
                                  </a:graphic>
                                </wp:inline>
                              </w:drawing>
                            </w:r>
                          </w:p>
                          <w:p w14:paraId="38DB82C1">
                            <w:pPr>
                              <w:ind w:left="0" w:leftChars="0" w:firstLine="0" w:firstLineChars="0"/>
                              <w:jc w:val="center"/>
                              <w:rPr>
                                <w:color w:val="000000" w:themeColor="text1"/>
                                <w:sz w:val="18"/>
                                <w:szCs w:val="18"/>
                                <w14:textFill>
                                  <w14:solidFill>
                                    <w14:schemeClr w14:val="tx1"/>
                                  </w14:solidFill>
                                </w14:textFill>
                              </w:rPr>
                            </w:pPr>
                            <w:r>
                              <w:rPr>
                                <w:b w:val="0"/>
                                <w:bCs w:val="0"/>
                                <w:color w:val="000000" w:themeColor="text1"/>
                                <w:sz w:val="18"/>
                                <w:szCs w:val="16"/>
                                <w14:textFill>
                                  <w14:solidFill>
                                    <w14:schemeClr w14:val="tx1"/>
                                  </w14:solidFill>
                                </w14:textFill>
                              </w:rPr>
                              <w:t>Figure 6</w:t>
                            </w:r>
                            <w:r>
                              <w:rPr>
                                <w:color w:val="000000" w:themeColor="text1"/>
                                <w:sz w:val="18"/>
                                <w:szCs w:val="18"/>
                                <w14:textFill>
                                  <w14:solidFill>
                                    <w14:schemeClr w14:val="tx1"/>
                                  </w14:solidFill>
                                </w14:textFill>
                              </w:rPr>
                              <w:t>. Graph of Comparison PID Controlled CC-CV with Conventional Charging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5pt;margin-top:-3.4pt;height:222.65pt;width:480.6pt;mso-wrap-distance-bottom:0pt;mso-wrap-distance-top:0pt;z-index:251668480;v-text-anchor:middle;mso-width-relative:page;mso-height-relative:page;" filled="f" stroked="f" coordsize="21600,21600" o:gfxdata="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gBwkI2gAAAAoBAAAPAAAA&#10;AAAAAAEAIAAAACIAAABkcnMvZG93bnJldi54bWxQSwECFAAUAAAACACHTuJA6eO0Bb4CAACPBQAA&#10;DgAAAAAAAAABACAAAAApAQAAZHJzL2Uyb0RvYy54bWxQSwUGAAAAAAYABgBZAQAAWQYAAAAA&#10;">
                <v:fill on="f" focussize="0,0"/>
                <v:stroke on="f" weight="2pt"/>
                <v:imagedata o:title=""/>
                <o:lock v:ext="edit" aspectratio="f"/>
                <v:textbox>
                  <w:txbxContent>
                    <w:p w14:paraId="2470C137">
                      <w:pPr>
                        <w:ind w:left="0" w:leftChars="0"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5907405" cy="256921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07405" cy="2569210"/>
                                    </a:xfrm>
                                    <a:prstGeom prst="rect">
                                      <a:avLst/>
                                    </a:prstGeom>
                                    <a:noFill/>
                                    <a:ln>
                                      <a:noFill/>
                                    </a:ln>
                                  </pic:spPr>
                                </pic:pic>
                              </a:graphicData>
                            </a:graphic>
                          </wp:inline>
                        </w:drawing>
                      </w:r>
                    </w:p>
                    <w:p w14:paraId="38DB82C1">
                      <w:pPr>
                        <w:ind w:left="0" w:leftChars="0" w:firstLine="0" w:firstLineChars="0"/>
                        <w:jc w:val="center"/>
                        <w:rPr>
                          <w:color w:val="000000" w:themeColor="text1"/>
                          <w:sz w:val="18"/>
                          <w:szCs w:val="18"/>
                          <w14:textFill>
                            <w14:solidFill>
                              <w14:schemeClr w14:val="tx1"/>
                            </w14:solidFill>
                          </w14:textFill>
                        </w:rPr>
                      </w:pPr>
                      <w:r>
                        <w:rPr>
                          <w:b w:val="0"/>
                          <w:bCs w:val="0"/>
                          <w:color w:val="000000" w:themeColor="text1"/>
                          <w:sz w:val="18"/>
                          <w:szCs w:val="16"/>
                          <w14:textFill>
                            <w14:solidFill>
                              <w14:schemeClr w14:val="tx1"/>
                            </w14:solidFill>
                          </w14:textFill>
                        </w:rPr>
                        <w:t>Figure 6</w:t>
                      </w:r>
                      <w:r>
                        <w:rPr>
                          <w:color w:val="000000" w:themeColor="text1"/>
                          <w:sz w:val="18"/>
                          <w:szCs w:val="18"/>
                          <w14:textFill>
                            <w14:solidFill>
                              <w14:schemeClr w14:val="tx1"/>
                            </w14:solidFill>
                          </w14:textFill>
                        </w:rPr>
                        <w:t>. Graph of Comparison PID Controlled CC-CV with Conventional Charging</w:t>
                      </w:r>
                    </w:p>
                  </w:txbxContent>
                </v:textbox>
                <w10:wrap type="topAndBottom"/>
              </v:rect>
            </w:pict>
          </mc:Fallback>
        </mc:AlternateContent>
      </w:r>
      <w:r>
        <w:rPr>
          <w:color w:val="000000" w:themeColor="text1"/>
          <w:lang w:val="en-GB"/>
          <w14:textFill>
            <w14:solidFill>
              <w14:schemeClr w14:val="tx1"/>
            </w14:solidFill>
          </w14:textFill>
        </w:rPr>
        <w:t>controlled system can provide a consistent charging current for a longer period of time, directly accelerating the total charging time.</w:t>
      </w:r>
    </w:p>
    <w:p w14:paraId="5896D56A">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After the 40th minute, the current in the PID system begins to decrease gradually and ends at the 85th minute, while the conventional system takes about 145 minutes to reach zero current. This fact shows that the PID system not only charges the battery faster, but also regulates the current decrease more efficiently, which is important for maintaining the temperature and preventing battery degradation.</w:t>
      </w:r>
    </w:p>
    <w:p w14:paraId="2D862225">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In the right graph, it can be seen that the charging voltage in the conventional method increases rapidly and reaches a peak above 12.7 V, even showing a tendency to overshoot before finally decreasing slightly at the end of charging. In contrast, the PID-controlled method gradually increases the voltage and keeps it stable at around 12.6 V without showing sharp spikes. This stability of voltage indicates that the PID system is more effective in controlling the charging conditions to keep them safe and within the limits of the battery specification.</w:t>
      </w:r>
    </w:p>
    <w:p w14:paraId="0DD8A8BB">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In general, it can be concluded that the PID-controlled system provides better performance than the conventional method, both in terms of charging time efficiency and electrical parameter stability. With more precise current and voltage control, this system is able to maintain optimal battery conditions, extend battery life, and improve safety during the charging process.</w:t>
      </w:r>
    </w:p>
    <w:p w14:paraId="6C5BB92E">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The faster charging time observed in the PID-controlled method, as shown in Figure 6, is mainly due to the ability of the PID controller to maintain a higher and more stable charging current during the CC phase. Unlike the conventional method, which begins to reduce current prematurely or responds slowly to voltage feedback, the PID system continuously adjusts the duty cycle to keep the current closer to the setpoint until the target voltage is reached. This optimizes the rate of energy transfer in the early phase of charging. In addition, the smooth and controlled transition to the CV phase prevents unnecessary delays or oscillations, allowing the overall charging process to be completed more efficiently. This real-time regulation accelerates the bulk charging stage without compromising voltage stability or safety.</w:t>
      </w:r>
    </w:p>
    <w:p w14:paraId="64B6DD9E">
      <w:pPr>
        <w:pStyle w:val="2"/>
        <w:rPr>
          <w:color w:val="000000" w:themeColor="text1"/>
          <w14:textFill>
            <w14:solidFill>
              <w14:schemeClr w14:val="tx1"/>
            </w14:solidFill>
          </w14:textFill>
        </w:rPr>
      </w:pPr>
      <w:r>
        <w:rPr>
          <w:color w:val="000000" w:themeColor="text1"/>
          <w14:textFill>
            <w14:solidFill>
              <w14:schemeClr w14:val="tx1"/>
            </w14:solidFill>
          </w14:textFill>
        </w:rPr>
        <w:t>Conclusion</w:t>
      </w:r>
    </w:p>
    <w:p w14:paraId="5660F567">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This study has demonstrated the effectiveness of a PID-controlled fast charging system using the CCCV method for lithium-ion batteries. The implementation of a closed-loop PID controller enabled dynamic adjustment of charging parameters, resulting in a more stable and efficient charging process compared to conventional methods. Experimental results showed that the PID-controlled system maintained a higher charging current for a longer duration, significantly reduced the total charging time, and minimized the voltage overshoot. In addition, voltage and current remained stable throughout the process, reducing thermal stress and improving battery safety.</w:t>
      </w:r>
    </w:p>
    <w:p w14:paraId="60B345AF">
      <w:pPr>
        <w:pStyle w:val="37"/>
        <w:keepNext w:val="0"/>
        <w:keepLines w:val="0"/>
        <w:pageBreakBefore w:val="0"/>
        <w:widowControl w:val="0"/>
        <w:kinsoku/>
        <w:wordWrap/>
        <w:overflowPunct/>
        <w:topLinePunct w:val="0"/>
        <w:autoSpaceDE w:val="0"/>
        <w:autoSpaceDN w:val="0"/>
        <w:bidi w:val="0"/>
        <w:adjustRightInd/>
        <w:snapToGrid/>
        <w:ind w:firstLine="357"/>
        <w:textAlignment w:val="auto"/>
        <w:rPr>
          <w:color w:val="000000" w:themeColor="text1"/>
          <w:lang w:val="en-GB"/>
          <w14:textFill>
            <w14:solidFill>
              <w14:schemeClr w14:val="tx1"/>
            </w14:solidFill>
          </w14:textFill>
        </w:rPr>
      </w:pPr>
      <w:r>
        <w:rPr>
          <w:color w:val="000000" w:themeColor="text1"/>
          <w:lang w:val="en-GB"/>
          <w14:textFill>
            <w14:solidFill>
              <w14:schemeClr w14:val="tx1"/>
            </w14:solidFill>
          </w14:textFill>
        </w:rPr>
        <w:t>The PID control system not only improved energy efficiency but also contributed to extending battery life by preventing overcharging and overheating. Compared to conventional CCCV charging, the proposed method showed superior current and voltage regulation performance, making it suitable for applications requiring rapid and safe charging, such as electric vehicles, portable electronics, and renewable energy storage systems. Future research may explore the integration of AI-based or adaptive control algorithms and advanced thermal management systems to further optimize performance and safety.</w:t>
      </w:r>
    </w:p>
    <w:p w14:paraId="6B83AE83">
      <w:pPr>
        <w:pStyle w:val="2"/>
        <w:numPr>
          <w:ilvl w:val="0"/>
          <w:numId w:val="0"/>
        </w:numPr>
        <w:rPr>
          <w:color w:val="000000" w:themeColor="text1"/>
          <w:lang w:val="en-US"/>
          <w14:textFill>
            <w14:solidFill>
              <w14:schemeClr w14:val="tx1"/>
            </w14:solidFill>
          </w14:textFill>
        </w:rPr>
      </w:pPr>
      <w:r>
        <w:rPr>
          <w:color w:val="000000" w:themeColor="text1"/>
          <w:lang w:val="en-US"/>
          <w14:textFill>
            <w14:solidFill>
              <w14:schemeClr w14:val="tx1"/>
            </w14:solidFill>
          </w14:textFill>
        </w:rPr>
        <w:t>Declarations</w:t>
      </w:r>
    </w:p>
    <w:p w14:paraId="3C45ABE2">
      <w:pPr>
        <w:pStyle w:val="2"/>
        <w:numPr>
          <w:ilvl w:val="0"/>
          <w:numId w:val="0"/>
        </w:numPr>
        <w:jc w:val="left"/>
        <w:rPr>
          <w:smallCaps w:val="0"/>
          <w:color w:val="000000" w:themeColor="text1"/>
          <w:sz w:val="18"/>
          <w:szCs w:val="18"/>
          <w:lang w:val="en-US"/>
          <w14:textFill>
            <w14:solidFill>
              <w14:schemeClr w14:val="tx1"/>
            </w14:solidFill>
          </w14:textFill>
        </w:rPr>
      </w:pPr>
      <w:r>
        <w:rPr>
          <w:smallCaps w:val="0"/>
          <w:color w:val="000000" w:themeColor="text1"/>
          <w:sz w:val="18"/>
          <w:szCs w:val="18"/>
          <w14:textFill>
            <w14:solidFill>
              <w14:schemeClr w14:val="tx1"/>
            </w14:solidFill>
          </w14:textFill>
        </w:rPr>
        <w:t>Conflict of Interest</w:t>
      </w:r>
    </w:p>
    <w:p w14:paraId="333B4B6C">
      <w:pPr>
        <w:keepNext w:val="0"/>
        <w:keepLines w:val="0"/>
        <w:pageBreakBefore w:val="0"/>
        <w:widowControl/>
        <w:kinsoku/>
        <w:wordWrap/>
        <w:overflowPunct/>
        <w:topLinePunct w:val="0"/>
        <w:autoSpaceDE/>
        <w:autoSpaceDN/>
        <w:bidi w:val="0"/>
        <w:adjustRightInd/>
        <w:snapToGrid/>
        <w:ind w:firstLine="357"/>
        <w:textAlignment w:val="auto"/>
        <w:rPr>
          <w:color w:val="000000" w:themeColor="text1"/>
          <w:sz w:val="18"/>
          <w:szCs w:val="18"/>
          <w:lang w:val="en-US"/>
          <w14:textFill>
            <w14:solidFill>
              <w14:schemeClr w14:val="tx1"/>
            </w14:solidFill>
          </w14:textFill>
        </w:rPr>
      </w:pPr>
      <w:r>
        <w:rPr>
          <w:color w:val="000000" w:themeColor="text1"/>
          <w:sz w:val="18"/>
          <w:szCs w:val="18"/>
          <w14:textFill>
            <w14:solidFill>
              <w14:schemeClr w14:val="tx1"/>
            </w14:solidFill>
          </w14:textFill>
        </w:rPr>
        <w:t>The authors have declared that no competing interests exist</w:t>
      </w:r>
      <w:r>
        <w:rPr>
          <w:color w:val="000000" w:themeColor="text1"/>
          <w:sz w:val="18"/>
          <w:szCs w:val="18"/>
          <w:lang w:val="en-US"/>
          <w14:textFill>
            <w14:solidFill>
              <w14:schemeClr w14:val="tx1"/>
            </w14:solidFill>
          </w14:textFill>
        </w:rPr>
        <w:t>.</w:t>
      </w:r>
    </w:p>
    <w:p w14:paraId="27CB2B38">
      <w:pPr>
        <w:pStyle w:val="2"/>
        <w:numPr>
          <w:ilvl w:val="0"/>
          <w:numId w:val="0"/>
        </w:numPr>
        <w:jc w:val="left"/>
        <w:rPr>
          <w:smallCaps w:val="0"/>
          <w:color w:val="000000" w:themeColor="text1"/>
          <w:sz w:val="18"/>
          <w:szCs w:val="18"/>
          <w:lang w:val="en-US"/>
          <w14:textFill>
            <w14:solidFill>
              <w14:schemeClr w14:val="tx1"/>
            </w14:solidFill>
          </w14:textFill>
        </w:rPr>
      </w:pPr>
      <w:r>
        <w:rPr>
          <w:smallCaps w:val="0"/>
          <w:color w:val="000000" w:themeColor="text1"/>
          <w:sz w:val="18"/>
          <w:szCs w:val="18"/>
          <w14:textFill>
            <w14:solidFill>
              <w14:schemeClr w14:val="tx1"/>
            </w14:solidFill>
          </w14:textFill>
        </w:rPr>
        <w:t xml:space="preserve">CRediT </w:t>
      </w:r>
      <w:r>
        <w:rPr>
          <w:smallCaps w:val="0"/>
          <w:color w:val="000000" w:themeColor="text1"/>
          <w:sz w:val="18"/>
          <w:szCs w:val="18"/>
          <w:lang w:val="en-US"/>
          <w14:textFill>
            <w14:solidFill>
              <w14:schemeClr w14:val="tx1"/>
            </w14:solidFill>
          </w14:textFill>
        </w:rPr>
        <w:t>A</w:t>
      </w:r>
      <w:r>
        <w:rPr>
          <w:smallCaps w:val="0"/>
          <w:color w:val="000000" w:themeColor="text1"/>
          <w:sz w:val="18"/>
          <w:szCs w:val="18"/>
          <w14:textFill>
            <w14:solidFill>
              <w14:schemeClr w14:val="tx1"/>
            </w14:solidFill>
          </w14:textFill>
        </w:rPr>
        <w:t xml:space="preserve">uthorship </w:t>
      </w:r>
      <w:r>
        <w:rPr>
          <w:smallCaps w:val="0"/>
          <w:color w:val="000000" w:themeColor="text1"/>
          <w:sz w:val="18"/>
          <w:szCs w:val="18"/>
          <w:lang w:val="en-US"/>
          <w14:textFill>
            <w14:solidFill>
              <w14:schemeClr w14:val="tx1"/>
            </w14:solidFill>
          </w14:textFill>
        </w:rPr>
        <w:t>C</w:t>
      </w:r>
      <w:r>
        <w:rPr>
          <w:smallCaps w:val="0"/>
          <w:color w:val="000000" w:themeColor="text1"/>
          <w:sz w:val="18"/>
          <w:szCs w:val="18"/>
          <w14:textFill>
            <w14:solidFill>
              <w14:schemeClr w14:val="tx1"/>
            </w14:solidFill>
          </w14:textFill>
        </w:rPr>
        <w:t>ontribution</w:t>
      </w:r>
    </w:p>
    <w:p w14:paraId="3D2FADED">
      <w:pPr>
        <w:keepNext w:val="0"/>
        <w:keepLines w:val="0"/>
        <w:pageBreakBefore w:val="0"/>
        <w:widowControl/>
        <w:kinsoku/>
        <w:wordWrap/>
        <w:overflowPunct/>
        <w:topLinePunct w:val="0"/>
        <w:autoSpaceDE/>
        <w:autoSpaceDN/>
        <w:bidi w:val="0"/>
        <w:adjustRightInd/>
        <w:snapToGrid/>
        <w:ind w:firstLine="357"/>
        <w:textAlignment w:val="auto"/>
        <w:rPr>
          <w:color w:val="auto"/>
          <w:sz w:val="18"/>
          <w:szCs w:val="18"/>
          <w:lang w:val="en-US"/>
        </w:rPr>
      </w:pPr>
      <w:r>
        <w:rPr>
          <w:rFonts w:hint="default"/>
          <w:color w:val="auto"/>
          <w:sz w:val="18"/>
          <w:szCs w:val="18"/>
          <w:lang w:val="en-US"/>
        </w:rPr>
        <w:t>Tole Sutikno: Conceptualization, Methodology, Supervision, Writing Review, and Editing; Tri Wahono: Software, Investigation, Data Curation; Ahmad Raditya Cahya Baswara: Formal Analysis, Validation, Visualization, Writing Original Draft.</w:t>
      </w:r>
    </w:p>
    <w:p w14:paraId="425D8202">
      <w:pPr>
        <w:keepNext/>
        <w:spacing w:before="180" w:after="60"/>
        <w:ind w:firstLine="0"/>
        <w:jc w:val="left"/>
        <w:outlineLvl w:val="0"/>
        <w:rPr>
          <w:b/>
          <w:bCs/>
          <w:color w:val="000000" w:themeColor="text1"/>
          <w:kern w:val="32"/>
          <w:sz w:val="18"/>
          <w:szCs w:val="18"/>
          <w:lang w:val="en-US" w:eastAsia="zh-CN"/>
          <w14:textFill>
            <w14:solidFill>
              <w14:schemeClr w14:val="tx1"/>
            </w14:solidFill>
          </w14:textFill>
        </w:rPr>
      </w:pPr>
      <w:r>
        <w:rPr>
          <w:b/>
          <w:bCs/>
          <w:color w:val="000000" w:themeColor="text1"/>
          <w:kern w:val="32"/>
          <w:sz w:val="18"/>
          <w:szCs w:val="18"/>
          <w:lang w:val="en-US" w:eastAsia="zh-CN"/>
          <w14:textFill>
            <w14:solidFill>
              <w14:schemeClr w14:val="tx1"/>
            </w14:solidFill>
          </w14:textFill>
        </w:rPr>
        <w:t>Funding</w:t>
      </w:r>
    </w:p>
    <w:p w14:paraId="05ADEA38">
      <w:pPr>
        <w:keepNext w:val="0"/>
        <w:keepLines w:val="0"/>
        <w:pageBreakBefore w:val="0"/>
        <w:widowControl/>
        <w:kinsoku/>
        <w:wordWrap/>
        <w:overflowPunct/>
        <w:topLinePunct w:val="0"/>
        <w:autoSpaceDE/>
        <w:autoSpaceDN/>
        <w:bidi w:val="0"/>
        <w:adjustRightInd/>
        <w:snapToGrid/>
        <w:ind w:firstLine="357"/>
        <w:textAlignment w:val="auto"/>
        <w:rPr>
          <w:color w:val="auto"/>
          <w:sz w:val="18"/>
          <w:szCs w:val="18"/>
          <w:lang w:val="en-US"/>
        </w:rPr>
      </w:pPr>
      <w:r>
        <w:rPr>
          <w:rFonts w:hint="default"/>
          <w:color w:val="auto"/>
          <w:sz w:val="18"/>
          <w:szCs w:val="18"/>
          <w:lang w:val="en-US"/>
        </w:rPr>
        <w:t>This research was funded by Universitas Ahmad Dahlan (UAD) through Lembaga Penelitian dan Pengabdian kepada Masyarakat (LPPM) under contract number PD-214/SP3/LPPM-UAD/XI/2024.</w:t>
      </w:r>
    </w:p>
    <w:p w14:paraId="50CD2417">
      <w:pPr>
        <w:pStyle w:val="2"/>
        <w:numPr>
          <w:ilvl w:val="0"/>
          <w:numId w:val="0"/>
        </w:numPr>
        <w:jc w:val="left"/>
        <w:rPr>
          <w:smallCaps w:val="0"/>
          <w:color w:val="000000" w:themeColor="text1"/>
          <w:sz w:val="18"/>
          <w:szCs w:val="18"/>
          <w14:textFill>
            <w14:solidFill>
              <w14:schemeClr w14:val="tx1"/>
            </w14:solidFill>
          </w14:textFill>
        </w:rPr>
      </w:pPr>
      <w:r>
        <w:rPr>
          <w:smallCaps w:val="0"/>
          <w:color w:val="000000" w:themeColor="text1"/>
          <w:sz w:val="18"/>
          <w:szCs w:val="18"/>
          <w14:textFill>
            <w14:solidFill>
              <w14:schemeClr w14:val="tx1"/>
            </w14:solidFill>
          </w14:textFill>
        </w:rPr>
        <w:t>Acknowledgment</w:t>
      </w:r>
    </w:p>
    <w:p w14:paraId="73529084">
      <w:pPr>
        <w:keepNext w:val="0"/>
        <w:keepLines w:val="0"/>
        <w:pageBreakBefore w:val="0"/>
        <w:widowControl/>
        <w:kinsoku/>
        <w:wordWrap/>
        <w:overflowPunct/>
        <w:topLinePunct w:val="0"/>
        <w:autoSpaceDE/>
        <w:autoSpaceDN/>
        <w:bidi w:val="0"/>
        <w:adjustRightInd/>
        <w:snapToGrid/>
        <w:ind w:firstLine="357"/>
        <w:textAlignment w:val="auto"/>
        <w:rPr>
          <w:color w:val="000000" w:themeColor="text1"/>
          <w:sz w:val="18"/>
          <w:szCs w:val="18"/>
          <w:lang w:val="en-US"/>
          <w14:textFill>
            <w14:solidFill>
              <w14:schemeClr w14:val="tx1"/>
            </w14:solidFill>
          </w14:textFill>
        </w:rPr>
      </w:pPr>
      <w:r>
        <w:rPr>
          <w:rFonts w:hint="default"/>
          <w:color w:val="000000" w:themeColor="text1"/>
          <w:sz w:val="18"/>
          <w:szCs w:val="18"/>
          <w14:textFill>
            <w14:solidFill>
              <w14:schemeClr w14:val="tx1"/>
            </w14:solidFill>
          </w14:textFill>
        </w:rPr>
        <w:t>This study is funded by a grant from Lembaga Penelitian dan Pengabdian Masyarakat (LPPM) Universitas Ahmad Dahlan, under contract number PD-214/SP3/LPPM-UAD/XI/2024. This study is also supported by Embedded Systems and Power Electronics Research Group (ESPERG).</w:t>
      </w:r>
    </w:p>
    <w:p w14:paraId="47384FC5">
      <w:pPr>
        <w:pStyle w:val="2"/>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References</w:t>
      </w:r>
    </w:p>
    <w:p w14:paraId="62FC390E">
      <w:pPr>
        <w:pStyle w:val="58"/>
        <w:tabs>
          <w:tab w:val="clear" w:pos="432"/>
        </w:tabs>
        <w:rPr>
          <w:color w:val="000000" w:themeColor="text1"/>
          <w:szCs w:val="16"/>
          <w14:textFill>
            <w14:solidFill>
              <w14:schemeClr w14:val="tx1"/>
            </w14:solidFill>
          </w14:textFill>
        </w:rPr>
      </w:pPr>
    </w:p>
    <w:p w14:paraId="2BB6CEC5">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ADDIN Mendeley Bibliography CSL_BIBLIOGRAPHY </w:instrText>
      </w:r>
      <w:r>
        <w:rPr>
          <w:color w:val="000000" w:themeColor="text1"/>
          <w14:textFill>
            <w14:solidFill>
              <w14:schemeClr w14:val="tx1"/>
            </w14:solidFill>
          </w14:textFill>
        </w:rPr>
        <w:fldChar w:fldCharType="separate"/>
      </w:r>
      <w:r>
        <w:rPr>
          <w:color w:val="000000" w:themeColor="text1"/>
          <w:sz w:val="16"/>
          <w:szCs w:val="24"/>
          <w14:textFill>
            <w14:solidFill>
              <w14:schemeClr w14:val="tx1"/>
            </w14:solidFill>
          </w14:textFill>
        </w:rPr>
        <w:t>[1]</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Y. Li, K. Li, Y. Xie, J. Liu, C. Fu, and B. Liu, “Optimized charging of lithium-ion battery for electric vehicles: Adaptive multistage constant current–constant voltage charging strategy,” </w:t>
      </w:r>
      <w:r>
        <w:rPr>
          <w:i/>
          <w:iCs/>
          <w:color w:val="000000" w:themeColor="text1"/>
          <w:sz w:val="16"/>
          <w:szCs w:val="24"/>
          <w14:textFill>
            <w14:solidFill>
              <w14:schemeClr w14:val="tx1"/>
            </w14:solidFill>
          </w14:textFill>
        </w:rPr>
        <w:t>Renew. Energy</w:t>
      </w:r>
      <w:r>
        <w:rPr>
          <w:color w:val="000000" w:themeColor="text1"/>
          <w:sz w:val="16"/>
          <w:szCs w:val="24"/>
          <w14:textFill>
            <w14:solidFill>
              <w14:schemeClr w14:val="tx1"/>
            </w14:solidFill>
          </w14:textFill>
        </w:rPr>
        <w:t>, vol. 146, pp. 2688–2699, Feb. 2020, doi: 10.1016/j.renene.2019.08.077.</w:t>
      </w:r>
    </w:p>
    <w:p w14:paraId="1F272EBD">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[2]</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T. Sutikno, T. Wahono, and A. Ardiansyah, “A study of smart charging for electric vehicles using constant-current and constant-voltage technology,” </w:t>
      </w:r>
      <w:r>
        <w:rPr>
          <w:i/>
          <w:iCs/>
          <w:color w:val="000000" w:themeColor="text1"/>
          <w:sz w:val="16"/>
          <w:szCs w:val="24"/>
          <w14:textFill>
            <w14:solidFill>
              <w14:schemeClr w14:val="tx1"/>
            </w14:solidFill>
          </w14:textFill>
        </w:rPr>
        <w:t>Int. J. Adv. Appl. Sci.</w:t>
      </w:r>
      <w:r>
        <w:rPr>
          <w:color w:val="000000" w:themeColor="text1"/>
          <w:sz w:val="16"/>
          <w:szCs w:val="24"/>
          <w14:textFill>
            <w14:solidFill>
              <w14:schemeClr w14:val="tx1"/>
            </w14:solidFill>
          </w14:textFill>
        </w:rPr>
        <w:t>, vol. 13, no. 3, p. 591, Sep. 2024, doi: 10.11591/ijaas.v13.i3.pp591-599.</w:t>
      </w:r>
    </w:p>
    <w:p w14:paraId="3D38D3F7">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[3]</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T. Shahed and A. B. M. H. Rashid, “Battery charging technologies and standards for electric vehicles : A state-of-the-art review , challenges , and future research prospects,” </w:t>
      </w:r>
      <w:r>
        <w:rPr>
          <w:i/>
          <w:iCs/>
          <w:color w:val="000000" w:themeColor="text1"/>
          <w:sz w:val="16"/>
          <w:szCs w:val="24"/>
          <w14:textFill>
            <w14:solidFill>
              <w14:schemeClr w14:val="tx1"/>
            </w14:solidFill>
          </w14:textFill>
        </w:rPr>
        <w:t>Energy Reports</w:t>
      </w:r>
      <w:r>
        <w:rPr>
          <w:color w:val="000000" w:themeColor="text1"/>
          <w:sz w:val="16"/>
          <w:szCs w:val="24"/>
          <w14:textFill>
            <w14:solidFill>
              <w14:schemeClr w14:val="tx1"/>
            </w14:solidFill>
          </w14:textFill>
        </w:rPr>
        <w:t>, vol. 11, no. May 2023, pp. 5978–5998, 2024, doi: 10.1016/j.egyr.2024.05.062.</w:t>
      </w:r>
    </w:p>
    <w:p w14:paraId="48287343">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[4]</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A. K. Koech, G. Mwandila, F. Mulolani, and P. Mwaanga, “Lithium-ion battery fundamentals and exploration of cathode materials: A review,” </w:t>
      </w:r>
      <w:r>
        <w:rPr>
          <w:i/>
          <w:iCs/>
          <w:color w:val="000000" w:themeColor="text1"/>
          <w:sz w:val="16"/>
          <w:szCs w:val="24"/>
          <w14:textFill>
            <w14:solidFill>
              <w14:schemeClr w14:val="tx1"/>
            </w14:solidFill>
          </w14:textFill>
        </w:rPr>
        <w:t>South African J. Chem. Eng.</w:t>
      </w:r>
      <w:r>
        <w:rPr>
          <w:color w:val="000000" w:themeColor="text1"/>
          <w:sz w:val="16"/>
          <w:szCs w:val="24"/>
          <w14:textFill>
            <w14:solidFill>
              <w14:schemeClr w14:val="tx1"/>
            </w14:solidFill>
          </w14:textFill>
        </w:rPr>
        <w:t>, vol. 50, no. September, pp. 321–339, 2024, doi: 10.1016/j.sajce.2024.09.008.</w:t>
      </w:r>
    </w:p>
    <w:p w14:paraId="52DAA496">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[5]</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X. Wu, K. Zhang, Y. Chen, J. Du, and N. I. Shchurov, “Multistage fast charging optimization protocol for lithium-ion batteries based on the biogeography-based algorithm,” </w:t>
      </w:r>
      <w:r>
        <w:rPr>
          <w:i/>
          <w:iCs/>
          <w:color w:val="000000" w:themeColor="text1"/>
          <w:sz w:val="16"/>
          <w:szCs w:val="24"/>
          <w14:textFill>
            <w14:solidFill>
              <w14:schemeClr w14:val="tx1"/>
            </w14:solidFill>
          </w14:textFill>
        </w:rPr>
        <w:t>J. Energy Storage</w:t>
      </w:r>
      <w:r>
        <w:rPr>
          <w:color w:val="000000" w:themeColor="text1"/>
          <w:sz w:val="16"/>
          <w:szCs w:val="24"/>
          <w14:textFill>
            <w14:solidFill>
              <w14:schemeClr w14:val="tx1"/>
            </w14:solidFill>
          </w14:textFill>
        </w:rPr>
        <w:t>, vol. 52, no. PA, p. 104679, 2022, doi: 10.1016/j.est.2022.104679.</w:t>
      </w:r>
    </w:p>
    <w:p w14:paraId="28E8E0C4">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[6]</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H. El Ouazzani, I. El Hassani, N. Barka, and T. Masrour, “MSCC-DRL: Multi-Stage constant current based on deep reinforcement learning for fast charging of lithium ion battery,” </w:t>
      </w:r>
      <w:r>
        <w:rPr>
          <w:i/>
          <w:iCs/>
          <w:color w:val="000000" w:themeColor="text1"/>
          <w:sz w:val="16"/>
          <w:szCs w:val="24"/>
          <w14:textFill>
            <w14:solidFill>
              <w14:schemeClr w14:val="tx1"/>
            </w14:solidFill>
          </w14:textFill>
        </w:rPr>
        <w:t>J. Energy Storage</w:t>
      </w:r>
      <w:r>
        <w:rPr>
          <w:color w:val="000000" w:themeColor="text1"/>
          <w:sz w:val="16"/>
          <w:szCs w:val="24"/>
          <w14:textFill>
            <w14:solidFill>
              <w14:schemeClr w14:val="tx1"/>
            </w14:solidFill>
          </w14:textFill>
        </w:rPr>
        <w:t>, vol. 75, no. May 2023, p. 109695, 2024, doi: 10.1016/j.est.2023.109695.</w:t>
      </w:r>
    </w:p>
    <w:p w14:paraId="0903839E">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[7]</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Y. Shen </w:t>
      </w:r>
      <w:r>
        <w:rPr>
          <w:i/>
          <w:iCs/>
          <w:color w:val="000000" w:themeColor="text1"/>
          <w:sz w:val="16"/>
          <w:szCs w:val="24"/>
          <w14:textFill>
            <w14:solidFill>
              <w14:schemeClr w14:val="tx1"/>
            </w14:solidFill>
          </w14:textFill>
        </w:rPr>
        <w:t>et al.</w:t>
      </w:r>
      <w:r>
        <w:rPr>
          <w:color w:val="000000" w:themeColor="text1"/>
          <w:sz w:val="16"/>
          <w:szCs w:val="24"/>
          <w14:textFill>
            <w14:solidFill>
              <w14:schemeClr w14:val="tx1"/>
            </w14:solidFill>
          </w14:textFill>
        </w:rPr>
        <w:t xml:space="preserve">, “Online detection of lithium plating onset during constant and multistage constant current fast charging for lithium-ion batteries,” </w:t>
      </w:r>
      <w:r>
        <w:rPr>
          <w:i/>
          <w:iCs/>
          <w:color w:val="000000" w:themeColor="text1"/>
          <w:sz w:val="16"/>
          <w:szCs w:val="24"/>
          <w14:textFill>
            <w14:solidFill>
              <w14:schemeClr w14:val="tx1"/>
            </w14:solidFill>
          </w14:textFill>
        </w:rPr>
        <w:t>Appl. Energy</w:t>
      </w:r>
      <w:r>
        <w:rPr>
          <w:color w:val="000000" w:themeColor="text1"/>
          <w:sz w:val="16"/>
          <w:szCs w:val="24"/>
          <w14:textFill>
            <w14:solidFill>
              <w14:schemeClr w14:val="tx1"/>
            </w14:solidFill>
          </w14:textFill>
        </w:rPr>
        <w:t>, vol. 370, no. March, p. 123631, 2024, doi: 10.1016/j.apenergy.2024.123631.</w:t>
      </w:r>
    </w:p>
    <w:p w14:paraId="66DCF1A7">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[8]</w:t>
      </w:r>
      <w:r>
        <w:rPr>
          <w:color w:val="C00000"/>
          <w:sz w:val="16"/>
          <w:szCs w:val="24"/>
        </w:rPr>
        <w:tab/>
      </w:r>
      <w:r>
        <w:rPr>
          <w:rFonts w:hint="default"/>
          <w:color w:val="000000" w:themeColor="text1"/>
          <w:sz w:val="16"/>
          <w:szCs w:val="24"/>
          <w14:textFill>
            <w14:solidFill>
              <w14:schemeClr w14:val="tx1"/>
            </w14:solidFill>
          </w14:textFill>
        </w:rPr>
        <w:t xml:space="preserve">A. Kaleem, I. U. Khalil, S. Aslam, N. Ullah, S. Al Otaibi, and M. Algethami, “Feedback PID controller-based closed-loop fast charging of lithium-ion batteries using constant-temperature–constant-voltage method,” </w:t>
      </w:r>
      <w:r>
        <w:rPr>
          <w:rFonts w:hint="default"/>
          <w:i/>
          <w:iCs/>
          <w:color w:val="000000" w:themeColor="text1"/>
          <w:sz w:val="16"/>
          <w:szCs w:val="24"/>
          <w14:textFill>
            <w14:solidFill>
              <w14:schemeClr w14:val="tx1"/>
            </w14:solidFill>
          </w14:textFill>
        </w:rPr>
        <w:t>Electronics</w:t>
      </w:r>
      <w:r>
        <w:rPr>
          <w:rFonts w:hint="default"/>
          <w:color w:val="000000" w:themeColor="text1"/>
          <w:sz w:val="16"/>
          <w:szCs w:val="24"/>
          <w14:textFill>
            <w14:solidFill>
              <w14:schemeClr w14:val="tx1"/>
            </w14:solidFill>
          </w14:textFill>
        </w:rPr>
        <w:t>, vol. 10, no. 22, Art. no. 2872, 2021, doi: 10.3390/electronics10222872.</w:t>
      </w:r>
    </w:p>
    <w:p w14:paraId="452F88C8">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[9]</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A. Haraz, K. Abualsaud, and A. Massoud, “State-of-Health and State-of-Charge Estimation in Electric Vehicles Batteries : A Survey on Machine Learning Approaches,” </w:t>
      </w:r>
      <w:r>
        <w:rPr>
          <w:i/>
          <w:iCs/>
          <w:color w:val="000000" w:themeColor="text1"/>
          <w:sz w:val="16"/>
          <w:szCs w:val="24"/>
          <w14:textFill>
            <w14:solidFill>
              <w14:schemeClr w14:val="tx1"/>
            </w14:solidFill>
          </w14:textFill>
        </w:rPr>
        <w:t>IEEE Access</w:t>
      </w:r>
      <w:r>
        <w:rPr>
          <w:color w:val="000000" w:themeColor="text1"/>
          <w:sz w:val="16"/>
          <w:szCs w:val="24"/>
          <w14:textFill>
            <w14:solidFill>
              <w14:schemeClr w14:val="tx1"/>
            </w14:solidFill>
          </w14:textFill>
        </w:rPr>
        <w:t>, vol. 12, no. September, pp. 158110–158139, 2024, doi: 10.1109/ACCESS.2024.3486989.</w:t>
      </w:r>
    </w:p>
    <w:p w14:paraId="36071225">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[10]</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G. Yang, “State of Charge Estimation of Lithium-Ion Battery for Underwater Vehicles Using MM-UKF Under Hierarchical Temperature Compensation,” </w:t>
      </w:r>
      <w:r>
        <w:rPr>
          <w:i/>
          <w:iCs/>
          <w:color w:val="000000" w:themeColor="text1"/>
          <w:sz w:val="16"/>
          <w:szCs w:val="24"/>
          <w14:textFill>
            <w14:solidFill>
              <w14:schemeClr w14:val="tx1"/>
            </w14:solidFill>
          </w14:textFill>
        </w:rPr>
        <w:t>IEEE Access</w:t>
      </w:r>
      <w:r>
        <w:rPr>
          <w:color w:val="000000" w:themeColor="text1"/>
          <w:sz w:val="16"/>
          <w:szCs w:val="24"/>
          <w14:textFill>
            <w14:solidFill>
              <w14:schemeClr w14:val="tx1"/>
            </w14:solidFill>
          </w14:textFill>
        </w:rPr>
        <w:t>, vol. 12, no. July, pp. 95831–95845, 2024, doi: 10.1109/ACCESS.2024.3425950.</w:t>
      </w:r>
    </w:p>
    <w:p w14:paraId="484FF8F2">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[1</w:t>
      </w:r>
      <w:r>
        <w:rPr>
          <w:rFonts w:hint="default"/>
          <w:color w:val="000000" w:themeColor="text1"/>
          <w:sz w:val="16"/>
          <w:szCs w:val="24"/>
          <w:lang w:val="en-US"/>
          <w14:textFill>
            <w14:solidFill>
              <w14:schemeClr w14:val="tx1"/>
            </w14:solidFill>
          </w14:textFill>
        </w:rPr>
        <w:t>1</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X. Wang, Y. Tang, Z. Li, and C. Xu, “Research on charging strategy based on improved particle swarm optimization PID algorithm,” </w:t>
      </w:r>
      <w:r>
        <w:rPr>
          <w:i/>
          <w:iCs/>
          <w:color w:val="000000" w:themeColor="text1"/>
          <w:sz w:val="16"/>
          <w:szCs w:val="24"/>
          <w14:textFill>
            <w14:solidFill>
              <w14:schemeClr w14:val="tx1"/>
            </w14:solidFill>
          </w14:textFill>
        </w:rPr>
        <w:t>Complex Intell. Syst.</w:t>
      </w:r>
      <w:r>
        <w:rPr>
          <w:color w:val="000000" w:themeColor="text1"/>
          <w:sz w:val="16"/>
          <w:szCs w:val="24"/>
          <w14:textFill>
            <w14:solidFill>
              <w14:schemeClr w14:val="tx1"/>
            </w14:solidFill>
          </w14:textFill>
        </w:rPr>
        <w:t>, vol. 10, no. 5, pp. 6421–6433, 2024.</w:t>
      </w:r>
    </w:p>
    <w:p w14:paraId="3F0E3E25">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[1</w:t>
      </w:r>
      <w:r>
        <w:rPr>
          <w:rFonts w:hint="default"/>
          <w:color w:val="000000" w:themeColor="text1"/>
          <w:sz w:val="16"/>
          <w:szCs w:val="24"/>
          <w:lang w:val="en-US"/>
          <w14:textFill>
            <w14:solidFill>
              <w14:schemeClr w14:val="tx1"/>
            </w14:solidFill>
          </w14:textFill>
        </w:rPr>
        <w:t>2</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A. Rospawan and J. W. Simatupang, “Microcontroller-Based Lead-Acid Battery Balancing System for Electric Vehicle Applications,” </w:t>
      </w:r>
      <w:r>
        <w:rPr>
          <w:i/>
          <w:iCs/>
          <w:color w:val="000000" w:themeColor="text1"/>
          <w:sz w:val="16"/>
          <w:szCs w:val="24"/>
          <w14:textFill>
            <w14:solidFill>
              <w14:schemeClr w14:val="tx1"/>
            </w14:solidFill>
          </w14:textFill>
        </w:rPr>
        <w:t>J. Elektron. dan Telekomun.</w:t>
      </w:r>
      <w:r>
        <w:rPr>
          <w:color w:val="000000" w:themeColor="text1"/>
          <w:sz w:val="16"/>
          <w:szCs w:val="24"/>
          <w14:textFill>
            <w14:solidFill>
              <w14:schemeClr w14:val="tx1"/>
            </w14:solidFill>
          </w14:textFill>
        </w:rPr>
        <w:t>, vol. 21, no. 2, p. 128, 2021, doi: 10.14203/jet.v21.128-139.</w:t>
      </w:r>
    </w:p>
    <w:p w14:paraId="2072F04E">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[1</w:t>
      </w:r>
      <w:r>
        <w:rPr>
          <w:rFonts w:hint="default"/>
          <w:color w:val="000000" w:themeColor="text1"/>
          <w:sz w:val="16"/>
          <w:szCs w:val="24"/>
          <w:lang w:val="en-US"/>
          <w14:textFill>
            <w14:solidFill>
              <w14:schemeClr w14:val="tx1"/>
            </w14:solidFill>
          </w14:textFill>
        </w:rPr>
        <w:t>3</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O. F. Nami </w:t>
      </w:r>
      <w:r>
        <w:rPr>
          <w:i/>
          <w:iCs/>
          <w:color w:val="000000" w:themeColor="text1"/>
          <w:sz w:val="16"/>
          <w:szCs w:val="24"/>
          <w14:textFill>
            <w14:solidFill>
              <w14:schemeClr w14:val="tx1"/>
            </w14:solidFill>
          </w14:textFill>
        </w:rPr>
        <w:t>et al.</w:t>
      </w:r>
      <w:r>
        <w:rPr>
          <w:color w:val="000000" w:themeColor="text1"/>
          <w:sz w:val="16"/>
          <w:szCs w:val="24"/>
          <w14:textFill>
            <w14:solidFill>
              <w14:schemeClr w14:val="tx1"/>
            </w14:solidFill>
          </w14:textFill>
        </w:rPr>
        <w:t xml:space="preserve">, “Performance Comparison of PID, FOPID, and NN-PID Controller for AUV Steering Problem,” </w:t>
      </w:r>
      <w:r>
        <w:rPr>
          <w:i/>
          <w:iCs/>
          <w:color w:val="000000" w:themeColor="text1"/>
          <w:sz w:val="16"/>
          <w:szCs w:val="24"/>
          <w14:textFill>
            <w14:solidFill>
              <w14:schemeClr w14:val="tx1"/>
            </w14:solidFill>
          </w14:textFill>
        </w:rPr>
        <w:t>J. Elektron. dan Telekomun.</w:t>
      </w:r>
      <w:r>
        <w:rPr>
          <w:color w:val="000000" w:themeColor="text1"/>
          <w:sz w:val="16"/>
          <w:szCs w:val="24"/>
          <w14:textFill>
            <w14:solidFill>
              <w14:schemeClr w14:val="tx1"/>
            </w14:solidFill>
          </w14:textFill>
        </w:rPr>
        <w:t>, vol. 24, no. 1, p. 72, 2024, doi: 10.55981/jet.596.</w:t>
      </w:r>
    </w:p>
    <w:p w14:paraId="74799229">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[1</w:t>
      </w:r>
      <w:r>
        <w:rPr>
          <w:rFonts w:hint="default"/>
          <w:color w:val="000000" w:themeColor="text1"/>
          <w:sz w:val="16"/>
          <w:szCs w:val="24"/>
          <w:lang w:val="en-US"/>
          <w14:textFill>
            <w14:solidFill>
              <w14:schemeClr w14:val="tx1"/>
            </w14:solidFill>
          </w14:textFill>
        </w:rPr>
        <w:t>4</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M. Usman Tahir, A. Sangwongwanich, D. I. Stroe, and F. Blaabjerg, “Overview of multi-stage charging strategies for Li-ion batteries,” </w:t>
      </w:r>
      <w:r>
        <w:rPr>
          <w:i/>
          <w:iCs/>
          <w:color w:val="000000" w:themeColor="text1"/>
          <w:sz w:val="16"/>
          <w:szCs w:val="24"/>
          <w14:textFill>
            <w14:solidFill>
              <w14:schemeClr w14:val="tx1"/>
            </w14:solidFill>
          </w14:textFill>
        </w:rPr>
        <w:t>J. Energy Chem.</w:t>
      </w:r>
      <w:r>
        <w:rPr>
          <w:color w:val="000000" w:themeColor="text1"/>
          <w:sz w:val="16"/>
          <w:szCs w:val="24"/>
          <w14:textFill>
            <w14:solidFill>
              <w14:schemeClr w14:val="tx1"/>
            </w14:solidFill>
          </w14:textFill>
        </w:rPr>
        <w:t>, vol. 84, pp. 228–241, 2023, doi: 10.1016/j.jechem.2023.05.023.</w:t>
      </w:r>
    </w:p>
    <w:p w14:paraId="76E92714">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[1</w:t>
      </w:r>
      <w:r>
        <w:rPr>
          <w:rFonts w:hint="default"/>
          <w:color w:val="000000" w:themeColor="text1"/>
          <w:sz w:val="16"/>
          <w:szCs w:val="24"/>
          <w:lang w:val="en-US"/>
          <w14:textFill>
            <w14:solidFill>
              <w14:schemeClr w14:val="tx1"/>
            </w14:solidFill>
          </w14:textFill>
        </w:rPr>
        <w:t>5</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M. S. H. Lipu </w:t>
      </w:r>
      <w:r>
        <w:rPr>
          <w:i/>
          <w:iCs/>
          <w:color w:val="000000" w:themeColor="text1"/>
          <w:sz w:val="16"/>
          <w:szCs w:val="24"/>
          <w14:textFill>
            <w14:solidFill>
              <w14:schemeClr w14:val="tx1"/>
            </w14:solidFill>
          </w14:textFill>
        </w:rPr>
        <w:t>et al.</w:t>
      </w:r>
      <w:r>
        <w:rPr>
          <w:color w:val="000000" w:themeColor="text1"/>
          <w:sz w:val="16"/>
          <w:szCs w:val="24"/>
          <w14:textFill>
            <w14:solidFill>
              <w14:schemeClr w14:val="tx1"/>
            </w14:solidFill>
          </w14:textFill>
        </w:rPr>
        <w:t xml:space="preserve">, “Real-Time State of Charge Estimation of Lithium-Ion Batteries Using Optimized Random Forest Regression Algorithm,” </w:t>
      </w:r>
      <w:r>
        <w:rPr>
          <w:i/>
          <w:iCs/>
          <w:color w:val="000000" w:themeColor="text1"/>
          <w:sz w:val="16"/>
          <w:szCs w:val="24"/>
          <w14:textFill>
            <w14:solidFill>
              <w14:schemeClr w14:val="tx1"/>
            </w14:solidFill>
          </w14:textFill>
        </w:rPr>
        <w:t>IEEE Trans. Intell. Veh.</w:t>
      </w:r>
      <w:r>
        <w:rPr>
          <w:color w:val="000000" w:themeColor="text1"/>
          <w:sz w:val="16"/>
          <w:szCs w:val="24"/>
          <w14:textFill>
            <w14:solidFill>
              <w14:schemeClr w14:val="tx1"/>
            </w14:solidFill>
          </w14:textFill>
        </w:rPr>
        <w:t>, vol. 8, no. 1, pp. 639–648, 2023, doi: 10.1109/TIV.2022.3161301.</w:t>
      </w:r>
    </w:p>
    <w:p w14:paraId="698D1197">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[1</w:t>
      </w:r>
      <w:r>
        <w:rPr>
          <w:rFonts w:hint="default"/>
          <w:color w:val="000000" w:themeColor="text1"/>
          <w:sz w:val="16"/>
          <w:szCs w:val="24"/>
          <w:lang w:val="en-US"/>
          <w14:textFill>
            <w14:solidFill>
              <w14:schemeClr w14:val="tx1"/>
            </w14:solidFill>
          </w14:textFill>
        </w:rPr>
        <w:t>6</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X. Sun, Z. Li, X. Wang, and C. Li, “Technology development of electric vehicles: A review,” </w:t>
      </w:r>
      <w:r>
        <w:rPr>
          <w:i/>
          <w:iCs/>
          <w:color w:val="000000" w:themeColor="text1"/>
          <w:sz w:val="16"/>
          <w:szCs w:val="24"/>
          <w14:textFill>
            <w14:solidFill>
              <w14:schemeClr w14:val="tx1"/>
            </w14:solidFill>
          </w14:textFill>
        </w:rPr>
        <w:t>Energies</w:t>
      </w:r>
      <w:r>
        <w:rPr>
          <w:color w:val="000000" w:themeColor="text1"/>
          <w:sz w:val="16"/>
          <w:szCs w:val="24"/>
          <w14:textFill>
            <w14:solidFill>
              <w14:schemeClr w14:val="tx1"/>
            </w14:solidFill>
          </w14:textFill>
        </w:rPr>
        <w:t>, vol. 13, no. 1, pp. 1–29, 2019, doi: 10.3390/en13010090.</w:t>
      </w:r>
    </w:p>
    <w:p w14:paraId="63E8BA46">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[1</w:t>
      </w:r>
      <w:r>
        <w:rPr>
          <w:rFonts w:hint="default"/>
          <w:color w:val="000000" w:themeColor="text1"/>
          <w:sz w:val="16"/>
          <w:szCs w:val="24"/>
          <w:lang w:val="en-US"/>
          <w14:textFill>
            <w14:solidFill>
              <w14:schemeClr w14:val="tx1"/>
            </w14:solidFill>
          </w14:textFill>
        </w:rPr>
        <w:t>7</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M. Brenna, F. Foiadelli, C. Leone, and M. Longo, “Electric Vehicles Charging Technology Review and Optimal Size Estimation,” </w:t>
      </w:r>
      <w:r>
        <w:rPr>
          <w:i/>
          <w:iCs/>
          <w:color w:val="000000" w:themeColor="text1"/>
          <w:sz w:val="16"/>
          <w:szCs w:val="24"/>
          <w14:textFill>
            <w14:solidFill>
              <w14:schemeClr w14:val="tx1"/>
            </w14:solidFill>
          </w14:textFill>
        </w:rPr>
        <w:t>J. Electr. Eng. Technol.</w:t>
      </w:r>
      <w:r>
        <w:rPr>
          <w:color w:val="000000" w:themeColor="text1"/>
          <w:sz w:val="16"/>
          <w:szCs w:val="24"/>
          <w14:textFill>
            <w14:solidFill>
              <w14:schemeClr w14:val="tx1"/>
            </w14:solidFill>
          </w14:textFill>
        </w:rPr>
        <w:t>, vol. 15, no. 6, pp. 2539–2552, Nov. 2020, doi: 10.1007/s42835-020-00547-x.</w:t>
      </w:r>
    </w:p>
    <w:p w14:paraId="723F0943">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[1</w:t>
      </w:r>
      <w:r>
        <w:rPr>
          <w:rFonts w:hint="default"/>
          <w:color w:val="000000" w:themeColor="text1"/>
          <w:sz w:val="16"/>
          <w:szCs w:val="24"/>
          <w:lang w:val="en-US"/>
          <w14:textFill>
            <w14:solidFill>
              <w14:schemeClr w14:val="tx1"/>
            </w14:solidFill>
          </w14:textFill>
        </w:rPr>
        <w:t>8</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G. Zhao, Y. Wang, and Z. Chen, “Health-aware multi-stage charging strategy for lithium-ion batteries based on whale optimization algorithm,” </w:t>
      </w:r>
      <w:r>
        <w:rPr>
          <w:i/>
          <w:iCs/>
          <w:color w:val="000000" w:themeColor="text1"/>
          <w:sz w:val="16"/>
          <w:szCs w:val="24"/>
          <w14:textFill>
            <w14:solidFill>
              <w14:schemeClr w14:val="tx1"/>
            </w14:solidFill>
          </w14:textFill>
        </w:rPr>
        <w:t>J. Energy Storage</w:t>
      </w:r>
      <w:r>
        <w:rPr>
          <w:color w:val="000000" w:themeColor="text1"/>
          <w:sz w:val="16"/>
          <w:szCs w:val="24"/>
          <w14:textFill>
            <w14:solidFill>
              <w14:schemeClr w14:val="tx1"/>
            </w14:solidFill>
          </w14:textFill>
        </w:rPr>
        <w:t>, vol. 55, no. PC, p. 105620, 2022, doi: 10.1016/j.est.2022.105620.</w:t>
      </w:r>
    </w:p>
    <w:p w14:paraId="77533683">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w:t>
      </w:r>
      <w:r>
        <w:rPr>
          <w:rFonts w:hint="default"/>
          <w:color w:val="000000" w:themeColor="text1"/>
          <w:sz w:val="16"/>
          <w:szCs w:val="24"/>
          <w:lang w:val="en-US"/>
          <w14:textFill>
            <w14:solidFill>
              <w14:schemeClr w14:val="tx1"/>
            </w14:solidFill>
          </w14:textFill>
        </w:rPr>
        <w:t>19</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Q. Y. Huang, Y. H. Liu, G. J. Chen, Y. F. Luo, and C. L. Liu, “Optimization of the SOC-based multi-stage constant current charging strategy using coyote optimization algorithm,” </w:t>
      </w:r>
      <w:r>
        <w:rPr>
          <w:i/>
          <w:iCs/>
          <w:color w:val="000000" w:themeColor="text1"/>
          <w:sz w:val="16"/>
          <w:szCs w:val="24"/>
          <w14:textFill>
            <w14:solidFill>
              <w14:schemeClr w14:val="tx1"/>
            </w14:solidFill>
          </w14:textFill>
        </w:rPr>
        <w:t>J. Energy Storage</w:t>
      </w:r>
      <w:r>
        <w:rPr>
          <w:color w:val="000000" w:themeColor="text1"/>
          <w:sz w:val="16"/>
          <w:szCs w:val="24"/>
          <w14:textFill>
            <w14:solidFill>
              <w14:schemeClr w14:val="tx1"/>
            </w14:solidFill>
          </w14:textFill>
        </w:rPr>
        <w:t>, vol. 77, no. August 2023, p. 109867, 2024, doi: 10.1016/j.est.2023.109867.</w:t>
      </w:r>
    </w:p>
    <w:p w14:paraId="4E5F4470">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[2</w:t>
      </w:r>
      <w:r>
        <w:rPr>
          <w:rFonts w:hint="default"/>
          <w:color w:val="000000" w:themeColor="text1"/>
          <w:sz w:val="16"/>
          <w:szCs w:val="24"/>
          <w:lang w:val="en-US"/>
          <w14:textFill>
            <w14:solidFill>
              <w14:schemeClr w14:val="tx1"/>
            </w14:solidFill>
          </w14:textFill>
        </w:rPr>
        <w:t>0</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Z. Mahdavi </w:t>
      </w:r>
      <w:r>
        <w:rPr>
          <w:i/>
          <w:iCs/>
          <w:color w:val="000000" w:themeColor="text1"/>
          <w:sz w:val="16"/>
          <w:szCs w:val="24"/>
          <w14:textFill>
            <w14:solidFill>
              <w14:schemeClr w14:val="tx1"/>
            </w14:solidFill>
          </w14:textFill>
        </w:rPr>
        <w:t>et al.</w:t>
      </w:r>
      <w:r>
        <w:rPr>
          <w:color w:val="000000" w:themeColor="text1"/>
          <w:sz w:val="16"/>
          <w:szCs w:val="24"/>
          <w14:textFill>
            <w14:solidFill>
              <w14:schemeClr w14:val="tx1"/>
            </w14:solidFill>
          </w14:textFill>
        </w:rPr>
        <w:t xml:space="preserve">, “Providing a Control System for Charging Electric Vehicles Using ANFIS,” </w:t>
      </w:r>
      <w:r>
        <w:rPr>
          <w:i/>
          <w:iCs/>
          <w:color w:val="000000" w:themeColor="text1"/>
          <w:sz w:val="16"/>
          <w:szCs w:val="24"/>
          <w14:textFill>
            <w14:solidFill>
              <w14:schemeClr w14:val="tx1"/>
            </w14:solidFill>
          </w14:textFill>
        </w:rPr>
        <w:t>Int. Trans. Electr. Energy Syst.</w:t>
      </w:r>
      <w:r>
        <w:rPr>
          <w:color w:val="000000" w:themeColor="text1"/>
          <w:sz w:val="16"/>
          <w:szCs w:val="24"/>
          <w14:textFill>
            <w14:solidFill>
              <w14:schemeClr w14:val="tx1"/>
            </w14:solidFill>
          </w14:textFill>
        </w:rPr>
        <w:t>, vol. 2024, 2024, doi: 10.1155/2024/9921062.</w:t>
      </w:r>
    </w:p>
    <w:p w14:paraId="37D1587A">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[2</w:t>
      </w:r>
      <w:r>
        <w:rPr>
          <w:rFonts w:hint="default"/>
          <w:color w:val="000000" w:themeColor="text1"/>
          <w:sz w:val="16"/>
          <w:szCs w:val="24"/>
          <w:lang w:val="en-US"/>
          <w14:textFill>
            <w14:solidFill>
              <w14:schemeClr w14:val="tx1"/>
            </w14:solidFill>
          </w14:textFill>
        </w:rPr>
        <w:t>1</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S. S. Rad </w:t>
      </w:r>
      <w:r>
        <w:rPr>
          <w:i/>
          <w:iCs/>
          <w:color w:val="000000" w:themeColor="text1"/>
          <w:sz w:val="16"/>
          <w:szCs w:val="24"/>
          <w14:textFill>
            <w14:solidFill>
              <w14:schemeClr w14:val="tx1"/>
            </w14:solidFill>
          </w14:textFill>
        </w:rPr>
        <w:t>et al.</w:t>
      </w:r>
      <w:r>
        <w:rPr>
          <w:color w:val="000000" w:themeColor="text1"/>
          <w:sz w:val="16"/>
          <w:szCs w:val="24"/>
          <w14:textFill>
            <w14:solidFill>
              <w14:schemeClr w14:val="tx1"/>
            </w14:solidFill>
          </w14:textFill>
        </w:rPr>
        <w:t xml:space="preserve">, “A Novel Approach in Evaluating Battery Charger Controller Design with Nonlinear PID Controller for an Extendable CHIL Setup,” in </w:t>
      </w:r>
      <w:r>
        <w:rPr>
          <w:i/>
          <w:iCs/>
          <w:color w:val="000000" w:themeColor="text1"/>
          <w:sz w:val="16"/>
          <w:szCs w:val="24"/>
          <w14:textFill>
            <w14:solidFill>
              <w14:schemeClr w14:val="tx1"/>
            </w14:solidFill>
          </w14:textFill>
        </w:rPr>
        <w:t>2024 IEEE Transportation Electrification Conference and Expo (ITEC)</w:t>
      </w:r>
      <w:r>
        <w:rPr>
          <w:color w:val="000000" w:themeColor="text1"/>
          <w:sz w:val="16"/>
          <w:szCs w:val="24"/>
          <w14:textFill>
            <w14:solidFill>
              <w14:schemeClr w14:val="tx1"/>
            </w14:solidFill>
          </w14:textFill>
        </w:rPr>
        <w:t>, 2024, pp. 1–5.</w:t>
      </w:r>
    </w:p>
    <w:p w14:paraId="753C0759">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[2</w:t>
      </w:r>
      <w:r>
        <w:rPr>
          <w:rFonts w:hint="default"/>
          <w:color w:val="000000" w:themeColor="text1"/>
          <w:sz w:val="16"/>
          <w:szCs w:val="24"/>
          <w:lang w:val="en-US"/>
          <w14:textFill>
            <w14:solidFill>
              <w14:schemeClr w14:val="tx1"/>
            </w14:solidFill>
          </w14:textFill>
        </w:rPr>
        <w:t>2</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L. H. Fang, M. I. F. Romli, R. A. Rahim, M. E. A. Aziz, D. H. A. Rahman, and H. H. Mokhtaruddin, “Development of an advanced current mode charging control strategy system for electric vehicle batteries,” </w:t>
      </w:r>
      <w:r>
        <w:rPr>
          <w:i/>
          <w:iCs/>
          <w:color w:val="000000" w:themeColor="text1"/>
          <w:sz w:val="16"/>
          <w:szCs w:val="24"/>
          <w14:textFill>
            <w14:solidFill>
              <w14:schemeClr w14:val="tx1"/>
            </w14:solidFill>
          </w14:textFill>
        </w:rPr>
        <w:t>Int. J. Power Electron. Drive Syst.</w:t>
      </w:r>
      <w:r>
        <w:rPr>
          <w:color w:val="000000" w:themeColor="text1"/>
          <w:sz w:val="16"/>
          <w:szCs w:val="24"/>
          <w14:textFill>
            <w14:solidFill>
              <w14:schemeClr w14:val="tx1"/>
            </w14:solidFill>
          </w14:textFill>
        </w:rPr>
        <w:t>, vol. 15, no. 4, p. 2639, Dec. 2024, doi: 10.11591/ijpeds.v15.i4.pp2639-2650.</w:t>
      </w:r>
    </w:p>
    <w:p w14:paraId="1AF2E908">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[2</w:t>
      </w:r>
      <w:r>
        <w:rPr>
          <w:rFonts w:hint="default"/>
          <w:color w:val="000000" w:themeColor="text1"/>
          <w:sz w:val="16"/>
          <w:szCs w:val="24"/>
          <w:lang w:val="en-US"/>
          <w14:textFill>
            <w14:solidFill>
              <w14:schemeClr w14:val="tx1"/>
            </w14:solidFill>
          </w14:textFill>
        </w:rPr>
        <w:t>3</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B. T. Gul and I. Ahmad, “Optimized ANFIS-Based Robust Nonlinear Control of a Solar Off-Grid Charging Station for Electric Vehicles,” </w:t>
      </w:r>
      <w:r>
        <w:rPr>
          <w:i/>
          <w:iCs/>
          <w:color w:val="000000" w:themeColor="text1"/>
          <w:sz w:val="16"/>
          <w:szCs w:val="24"/>
          <w14:textFill>
            <w14:solidFill>
              <w14:schemeClr w14:val="tx1"/>
            </w14:solidFill>
          </w14:textFill>
        </w:rPr>
        <w:t>IEEE Access</w:t>
      </w:r>
      <w:r>
        <w:rPr>
          <w:color w:val="000000" w:themeColor="text1"/>
          <w:sz w:val="16"/>
          <w:szCs w:val="24"/>
          <w14:textFill>
            <w14:solidFill>
              <w14:schemeClr w14:val="tx1"/>
            </w14:solidFill>
          </w14:textFill>
        </w:rPr>
        <w:t>, vol. 13, no. December 2024, pp. 20361–20373, 2025, doi: 10.1109/ACCESS.2025.3535571.</w:t>
      </w:r>
    </w:p>
    <w:p w14:paraId="73E28995">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[2</w:t>
      </w:r>
      <w:r>
        <w:rPr>
          <w:rFonts w:hint="default"/>
          <w:color w:val="000000" w:themeColor="text1"/>
          <w:sz w:val="16"/>
          <w:szCs w:val="24"/>
          <w:lang w:val="en-US"/>
          <w14:textFill>
            <w14:solidFill>
              <w14:schemeClr w14:val="tx1"/>
            </w14:solidFill>
          </w14:textFill>
        </w:rPr>
        <w:t>4</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N. D. Tuyen, N. V. M. Tam, and T. P. Hoa, “LCL filter based high power density AC/DC converter for fast charging applications,” </w:t>
      </w:r>
      <w:r>
        <w:rPr>
          <w:i/>
          <w:iCs/>
          <w:color w:val="000000" w:themeColor="text1"/>
          <w:sz w:val="16"/>
          <w:szCs w:val="24"/>
          <w14:textFill>
            <w14:solidFill>
              <w14:schemeClr w14:val="tx1"/>
            </w14:solidFill>
          </w14:textFill>
        </w:rPr>
        <w:t>Int. J. Power Electron. Drive Syst.</w:t>
      </w:r>
      <w:r>
        <w:rPr>
          <w:color w:val="000000" w:themeColor="text1"/>
          <w:sz w:val="16"/>
          <w:szCs w:val="24"/>
          <w14:textFill>
            <w14:solidFill>
              <w14:schemeClr w14:val="tx1"/>
            </w14:solidFill>
          </w14:textFill>
        </w:rPr>
        <w:t>, vol. 15, no. 4, p. 2308, Dec. 2024, doi: 10.11591/ijpeds.v15.i4.pp2308-2322.</w:t>
      </w:r>
    </w:p>
    <w:p w14:paraId="54C50360">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[2</w:t>
      </w:r>
      <w:r>
        <w:rPr>
          <w:rFonts w:hint="default"/>
          <w:color w:val="000000" w:themeColor="text1"/>
          <w:sz w:val="16"/>
          <w:szCs w:val="24"/>
          <w:lang w:val="en-US"/>
          <w14:textFill>
            <w14:solidFill>
              <w14:schemeClr w14:val="tx1"/>
            </w14:solidFill>
          </w14:textFill>
        </w:rPr>
        <w:t>5</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F. D. Murdianto, I. Sudiharto, and A. F. Andraeni, “Active balancing charging using ANFIS to reach longest lifetime for lithium ion,” </w:t>
      </w:r>
      <w:r>
        <w:rPr>
          <w:i/>
          <w:iCs/>
          <w:color w:val="000000" w:themeColor="text1"/>
          <w:sz w:val="16"/>
          <w:szCs w:val="24"/>
          <w14:textFill>
            <w14:solidFill>
              <w14:schemeClr w14:val="tx1"/>
            </w14:solidFill>
          </w14:textFill>
        </w:rPr>
        <w:t>Int. J. Power Electron. Drive Syst.</w:t>
      </w:r>
      <w:r>
        <w:rPr>
          <w:color w:val="000000" w:themeColor="text1"/>
          <w:sz w:val="16"/>
          <w:szCs w:val="24"/>
          <w14:textFill>
            <w14:solidFill>
              <w14:schemeClr w14:val="tx1"/>
            </w14:solidFill>
          </w14:textFill>
        </w:rPr>
        <w:t>, vol. 15, no. 4, p. 2168, Dec. 2024, doi: 10.11591/ijpeds.v15.i4.pp2168-2179.</w:t>
      </w:r>
    </w:p>
    <w:p w14:paraId="251F6998">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[2</w:t>
      </w:r>
      <w:r>
        <w:rPr>
          <w:rFonts w:hint="default"/>
          <w:color w:val="000000" w:themeColor="text1"/>
          <w:sz w:val="16"/>
          <w:szCs w:val="24"/>
          <w:lang w:val="en-US"/>
          <w14:textFill>
            <w14:solidFill>
              <w14:schemeClr w14:val="tx1"/>
            </w14:solidFill>
          </w14:textFill>
        </w:rPr>
        <w:t>6</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M. U. Tahir, A. Sangwongwanich, D. I. Stroe, and F. Blaabjerg, “Multi-objective optimization for multi-stage constant current charging for Li-ion batteries,” </w:t>
      </w:r>
      <w:r>
        <w:rPr>
          <w:i/>
          <w:iCs/>
          <w:color w:val="000000" w:themeColor="text1"/>
          <w:sz w:val="16"/>
          <w:szCs w:val="24"/>
          <w14:textFill>
            <w14:solidFill>
              <w14:schemeClr w14:val="tx1"/>
            </w14:solidFill>
          </w14:textFill>
        </w:rPr>
        <w:t>J. Energy Storage</w:t>
      </w:r>
      <w:r>
        <w:rPr>
          <w:color w:val="000000" w:themeColor="text1"/>
          <w:sz w:val="16"/>
          <w:szCs w:val="24"/>
          <w14:textFill>
            <w14:solidFill>
              <w14:schemeClr w14:val="tx1"/>
            </w14:solidFill>
          </w14:textFill>
        </w:rPr>
        <w:t>, vol. 86, no. PA, p. 111313, 2024, doi: 10.1016/j.est.2024.111313.</w:t>
      </w:r>
    </w:p>
    <w:p w14:paraId="4122BF64">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szCs w:val="24"/>
          <w14:textFill>
            <w14:solidFill>
              <w14:schemeClr w14:val="tx1"/>
            </w14:solidFill>
          </w14:textFill>
        </w:rPr>
      </w:pPr>
      <w:r>
        <w:rPr>
          <w:color w:val="000000" w:themeColor="text1"/>
          <w:sz w:val="16"/>
          <w:szCs w:val="24"/>
          <w14:textFill>
            <w14:solidFill>
              <w14:schemeClr w14:val="tx1"/>
            </w14:solidFill>
          </w14:textFill>
        </w:rPr>
        <w:t>[2</w:t>
      </w:r>
      <w:r>
        <w:rPr>
          <w:rFonts w:hint="default"/>
          <w:color w:val="000000" w:themeColor="text1"/>
          <w:sz w:val="16"/>
          <w:szCs w:val="24"/>
          <w:lang w:val="en-US"/>
          <w14:textFill>
            <w14:solidFill>
              <w14:schemeClr w14:val="tx1"/>
            </w14:solidFill>
          </w14:textFill>
        </w:rPr>
        <w:t>7</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Y. Du, Z. Zhang, Z. Zuo, and Y. Wang, “Lithium battery charging optimization via multi-stage combined charging strategy in solar-powered vehicles,” </w:t>
      </w:r>
      <w:r>
        <w:rPr>
          <w:i/>
          <w:iCs/>
          <w:color w:val="000000" w:themeColor="text1"/>
          <w:sz w:val="16"/>
          <w:szCs w:val="24"/>
          <w14:textFill>
            <w14:solidFill>
              <w14:schemeClr w14:val="tx1"/>
            </w14:solidFill>
          </w14:textFill>
        </w:rPr>
        <w:t>J. Energy Storage</w:t>
      </w:r>
      <w:r>
        <w:rPr>
          <w:color w:val="000000" w:themeColor="text1"/>
          <w:sz w:val="16"/>
          <w:szCs w:val="24"/>
          <w14:textFill>
            <w14:solidFill>
              <w14:schemeClr w14:val="tx1"/>
            </w14:solidFill>
          </w14:textFill>
        </w:rPr>
        <w:t>, vol. 83, no. January, p. 110716, 2024, doi: 10.1016/j.est.2024.110716.</w:t>
      </w:r>
    </w:p>
    <w:p w14:paraId="6D152AA1">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6"/>
          <w14:textFill>
            <w14:solidFill>
              <w14:schemeClr w14:val="tx1"/>
            </w14:solidFill>
          </w14:textFill>
        </w:rPr>
      </w:pPr>
      <w:r>
        <w:rPr>
          <w:color w:val="000000" w:themeColor="text1"/>
          <w:sz w:val="16"/>
          <w:szCs w:val="24"/>
          <w14:textFill>
            <w14:solidFill>
              <w14:schemeClr w14:val="tx1"/>
            </w14:solidFill>
          </w14:textFill>
        </w:rPr>
        <w:t>[2</w:t>
      </w:r>
      <w:r>
        <w:rPr>
          <w:rFonts w:hint="default"/>
          <w:color w:val="000000" w:themeColor="text1"/>
          <w:sz w:val="16"/>
          <w:szCs w:val="24"/>
          <w:lang w:val="en-US"/>
          <w14:textFill>
            <w14:solidFill>
              <w14:schemeClr w14:val="tx1"/>
            </w14:solidFill>
          </w14:textFill>
        </w:rPr>
        <w:t>8</w:t>
      </w:r>
      <w:r>
        <w:rPr>
          <w:color w:val="000000" w:themeColor="text1"/>
          <w:sz w:val="16"/>
          <w:szCs w:val="24"/>
          <w14:textFill>
            <w14:solidFill>
              <w14:schemeClr w14:val="tx1"/>
            </w14:solidFill>
          </w14:textFill>
        </w:rPr>
        <w:t>]</w:t>
      </w:r>
      <w:r>
        <w:rPr>
          <w:color w:val="000000" w:themeColor="text1"/>
          <w:sz w:val="16"/>
          <w:szCs w:val="24"/>
          <w14:textFill>
            <w14:solidFill>
              <w14:schemeClr w14:val="tx1"/>
            </w14:solidFill>
          </w14:textFill>
        </w:rPr>
        <w:tab/>
      </w:r>
      <w:r>
        <w:rPr>
          <w:color w:val="000000" w:themeColor="text1"/>
          <w:sz w:val="16"/>
          <w:szCs w:val="24"/>
          <w14:textFill>
            <w14:solidFill>
              <w14:schemeClr w14:val="tx1"/>
            </w14:solidFill>
          </w14:textFill>
        </w:rPr>
        <w:t xml:space="preserve">M. Irwanto </w:t>
      </w:r>
      <w:r>
        <w:rPr>
          <w:i/>
          <w:iCs/>
          <w:color w:val="000000" w:themeColor="text1"/>
          <w:sz w:val="16"/>
          <w:szCs w:val="24"/>
          <w14:textFill>
            <w14:solidFill>
              <w14:schemeClr w14:val="tx1"/>
            </w14:solidFill>
          </w14:textFill>
        </w:rPr>
        <w:t>et al.</w:t>
      </w:r>
      <w:r>
        <w:rPr>
          <w:color w:val="000000" w:themeColor="text1"/>
          <w:sz w:val="16"/>
          <w:szCs w:val="24"/>
          <w14:textFill>
            <w14:solidFill>
              <w14:schemeClr w14:val="tx1"/>
            </w14:solidFill>
          </w14:textFill>
        </w:rPr>
        <w:t xml:space="preserve">, “Photovoltaic powered DC-DC boost converter based on PID controller for battery charging system,” in </w:t>
      </w:r>
      <w:r>
        <w:rPr>
          <w:i/>
          <w:iCs/>
          <w:color w:val="000000" w:themeColor="text1"/>
          <w:sz w:val="16"/>
          <w:szCs w:val="24"/>
          <w14:textFill>
            <w14:solidFill>
              <w14:schemeClr w14:val="tx1"/>
            </w14:solidFill>
          </w14:textFill>
        </w:rPr>
        <w:t>Journal of Physics: Conference Series</w:t>
      </w:r>
      <w:r>
        <w:rPr>
          <w:color w:val="000000" w:themeColor="text1"/>
          <w:sz w:val="16"/>
          <w:szCs w:val="24"/>
          <w14:textFill>
            <w14:solidFill>
              <w14:schemeClr w14:val="tx1"/>
            </w14:solidFill>
          </w14:textFill>
        </w:rPr>
        <w:t>, 2020, vol. 1432, no. 1, p. 12055.</w:t>
      </w:r>
    </w:p>
    <w:p w14:paraId="7B964D37">
      <w:pPr>
        <w:pStyle w:val="58"/>
        <w:tabs>
          <w:tab w:val="clear" w:pos="432"/>
        </w:tabs>
        <w:rPr>
          <w:color w:val="000000" w:themeColor="text1"/>
          <w14:textFill>
            <w14:solidFill>
              <w14:schemeClr w14:val="tx1"/>
            </w14:solidFill>
          </w14:textFill>
        </w:rPr>
        <w:sectPr>
          <w:footnotePr>
            <w:numFmt w:val="chicago"/>
            <w:numRestart w:val="eachPage"/>
          </w:footnotePr>
          <w:type w:val="continuous"/>
          <w:pgSz w:w="11906" w:h="16838"/>
          <w:pgMar w:top="1134" w:right="1134" w:bottom="1134" w:left="1418" w:header="720" w:footer="720" w:gutter="0"/>
          <w:pgNumType w:fmt="decimal"/>
          <w:cols w:space="284" w:num="2"/>
          <w:docGrid w:linePitch="272" w:charSpace="0"/>
        </w:sectPr>
      </w:pPr>
      <w:r>
        <w:rPr>
          <w:color w:val="000000" w:themeColor="text1"/>
          <w14:textFill>
            <w14:solidFill>
              <w14:schemeClr w14:val="tx1"/>
            </w14:solidFill>
          </w14:textFill>
        </w:rPr>
        <w:fldChar w:fldCharType="end"/>
      </w:r>
    </w:p>
    <w:p w14:paraId="501D3E00">
      <w:pPr>
        <w:spacing w:after="120"/>
        <w:rPr>
          <w:color w:val="000000" w:themeColor="text1"/>
          <w:sz w:val="18"/>
          <w14:textFill>
            <w14:solidFill>
              <w14:schemeClr w14:val="tx1"/>
            </w14:solidFill>
          </w14:textFill>
        </w:rPr>
      </w:pPr>
    </w:p>
    <w:sectPr>
      <w:footnotePr>
        <w:numFmt w:val="chicago"/>
        <w:numRestart w:val="eachPage"/>
      </w:footnotePr>
      <w:type w:val="continuous"/>
      <w:pgSz w:w="11906" w:h="16838"/>
      <w:pgMar w:top="1134" w:right="1134" w:bottom="1134" w:left="1418" w:header="720" w:footer="720" w:gutter="0"/>
      <w:pgNumType w:fmt="decimal"/>
      <w:cols w:space="284" w:num="2"/>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0"/>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Calibri">
    <w:panose1 w:val="020F0502020204030204"/>
    <w:charset w:val="00"/>
    <w:family w:val="auto"/>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280E6">
    <w:pPr>
      <w:pStyle w:val="16"/>
      <w:pBdr>
        <w:bottom w:val="single" w:color="auto" w:sz="4" w:space="1"/>
      </w:pBdr>
      <w:tabs>
        <w:tab w:val="left" w:pos="7320"/>
      </w:tabs>
      <w:ind w:firstLine="0"/>
    </w:pPr>
  </w:p>
  <w:p w14:paraId="4480AE60">
    <w:pPr>
      <w:pStyle w:val="13"/>
      <w:jc w:val="right"/>
    </w:pPr>
    <w:r>
      <w:rPr>
        <w:sz w:val="16"/>
        <w:szCs w:val="16"/>
      </w:rPr>
      <w:t xml:space="preserve">JURNAL ELEKTRONIKA DAN TELEKOMUNIKASI, Vol. </w:t>
    </w:r>
    <w:r>
      <w:rPr>
        <w:rFonts w:hint="default"/>
        <w:sz w:val="16"/>
        <w:szCs w:val="16"/>
        <w:lang w:val="en-US"/>
      </w:rPr>
      <w:t>25</w:t>
    </w:r>
    <w:r>
      <w:rPr>
        <w:sz w:val="16"/>
        <w:szCs w:val="16"/>
      </w:rPr>
      <w:t>, No.</w:t>
    </w:r>
    <w:r>
      <w:rPr>
        <w:rFonts w:hint="default"/>
        <w:sz w:val="16"/>
        <w:szCs w:val="16"/>
        <w:lang w:val="en-US"/>
      </w:rPr>
      <w:t xml:space="preserve"> 2</w:t>
    </w:r>
    <w:r>
      <w:rPr>
        <w:sz w:val="16"/>
        <w:szCs w:val="16"/>
      </w:rPr>
      <w:t xml:space="preserve">, </w:t>
    </w:r>
    <w:r>
      <w:rPr>
        <w:rFonts w:hint="default"/>
        <w:sz w:val="16"/>
        <w:szCs w:val="16"/>
        <w:lang w:val="en-US"/>
      </w:rPr>
      <w:t>December 2025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4BE77">
    <w:pPr>
      <w:pStyle w:val="16"/>
      <w:pBdr>
        <w:bottom w:val="single" w:color="auto" w:sz="4" w:space="1"/>
      </w:pBdr>
      <w:ind w:firstLine="0"/>
    </w:pPr>
  </w:p>
  <w:p w14:paraId="1582D39F">
    <w:pPr>
      <w:pStyle w:val="13"/>
      <w:ind w:firstLine="0"/>
      <w:jc w:val="left"/>
    </w:pPr>
    <w:r>
      <w:rPr>
        <w:sz w:val="16"/>
        <w:szCs w:val="16"/>
      </w:rPr>
      <w:t>p-ISSN: 1411-8289; e-ISSN: 2527-9955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4325">
    <w:pPr>
      <w:pStyle w:val="1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EA7C2">
    <w:pPr>
      <w:pStyle w:val="20"/>
      <w:spacing w:after="0"/>
      <w:jc w:val="right"/>
      <w:rPr>
        <w:b w:val="0"/>
        <w:iCs/>
        <w:sz w:val="16"/>
        <w:szCs w:val="16"/>
      </w:rPr>
    </w:pPr>
    <w:r>
      <w:rPr>
        <w:rFonts w:hint="default"/>
        <w:b w:val="0"/>
        <w:sz w:val="16"/>
        <w:szCs w:val="16"/>
      </w:rPr>
      <w:t>PID Controller-Based Closed-Loop Fast Charging of Lithium-Ion Batteries Using the CCCV Method</w:t>
    </w:r>
    <w:r>
      <w:rPr>
        <w:b w:val="0"/>
        <w:sz w:val="16"/>
        <w:szCs w:val="16"/>
      </w:rPr>
      <w:t xml:space="preserve">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Pr>
        <w:b w:val="0"/>
        <w:sz w:val="16"/>
        <w:szCs w:val="16"/>
      </w:rPr>
      <w:t>15</w:t>
    </w:r>
    <w:r>
      <w:rPr>
        <w:b w:val="0"/>
        <w:sz w:val="16"/>
        <w:szCs w:val="16"/>
      </w:rPr>
      <w:fldChar w:fldCharType="end"/>
    </w:r>
  </w:p>
  <w:p w14:paraId="399AD69C">
    <w:pPr>
      <w:pStyle w:val="16"/>
      <w:pBdr>
        <w:bottom w:val="single" w:color="auto" w:sz="4" w:space="0"/>
      </w:pBdr>
      <w:ind w:firstLine="0"/>
      <w:rPr>
        <w:sz w:val="2"/>
        <w:szCs w:val="2"/>
      </w:rPr>
    </w:pPr>
  </w:p>
  <w:p w14:paraId="19628EF1">
    <w:pPr>
      <w:pStyle w:val="16"/>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1D482">
    <w:pPr>
      <w:pStyle w:val="16"/>
      <w:pBdr>
        <w:bottom w:val="single" w:color="auto" w:sz="4" w:space="1"/>
      </w:pBdr>
      <w:ind w:firstLine="0"/>
    </w:pPr>
    <w:r>
      <w:rPr>
        <w:sz w:val="16"/>
        <w:szCs w:val="16"/>
      </w:rPr>
      <w:fldChar w:fldCharType="begin"/>
    </w:r>
    <w:r>
      <w:rPr>
        <w:sz w:val="16"/>
        <w:szCs w:val="16"/>
      </w:rPr>
      <w:instrText xml:space="preserve"> PAGE   \* MERGEFORMAT </w:instrText>
    </w:r>
    <w:r>
      <w:rPr>
        <w:sz w:val="16"/>
        <w:szCs w:val="16"/>
      </w:rPr>
      <w:fldChar w:fldCharType="separate"/>
    </w:r>
    <w:r>
      <w:rPr>
        <w:sz w:val="16"/>
        <w:szCs w:val="16"/>
      </w:rPr>
      <w:t>16</w:t>
    </w:r>
    <w:r>
      <w:rPr>
        <w:sz w:val="16"/>
        <w:szCs w:val="16"/>
      </w:rPr>
      <w:fldChar w:fldCharType="end"/>
    </w:r>
    <w:r>
      <w:rPr>
        <w:sz w:val="16"/>
        <w:szCs w:val="16"/>
      </w:rPr>
      <w:t xml:space="preserve">  </w:t>
    </w:r>
    <w:r>
      <w:rPr>
        <w:sz w:val="16"/>
        <w:szCs w:val="16"/>
      </w:rPr>
      <w:sym w:font="Symbol" w:char="F0B7"/>
    </w:r>
    <w:r>
      <w:rPr>
        <w:sz w:val="16"/>
        <w:szCs w:val="16"/>
      </w:rPr>
      <w:t xml:space="preserve">  </w:t>
    </w:r>
    <w:r>
      <w:rPr>
        <w:rFonts w:hint="default"/>
        <w:sz w:val="16"/>
        <w:szCs w:val="16"/>
        <w:lang w:val="en-US"/>
      </w:rPr>
      <w:t>Tole Sutikno</w:t>
    </w:r>
    <w:r>
      <w:rPr>
        <w:sz w:val="16"/>
        <w:szCs w:val="16"/>
        <w:lang w:val="en-US"/>
      </w:rPr>
      <w:t>,</w:t>
    </w:r>
    <w:r>
      <w:rPr>
        <w:sz w:val="16"/>
        <w:szCs w:val="16"/>
      </w:rPr>
      <w:t xml:space="preserve"> et. al.</w:t>
    </w:r>
  </w:p>
  <w:p w14:paraId="216959F0">
    <w:pPr>
      <w:pStyle w:val="16"/>
      <w:ind w:left="0" w:leftChars="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DAD01">
    <w:pPr>
      <w:pStyle w:val="16"/>
      <w:pBdr>
        <w:bottom w:val="none" w:color="auto" w:sz="0" w:space="0"/>
      </w:pBdr>
      <w:ind w:firstLine="0"/>
      <w:rPr>
        <w:rFonts w:hint="default"/>
        <w:lang w:val="en-US"/>
      </w:rPr>
    </w:pPr>
    <w:r>
      <w:rPr>
        <w:rFonts w:hint="default"/>
        <w:b/>
        <w:lang w:val="en-US"/>
      </w:rPr>
      <w:tab/>
    </w:r>
    <w:r>
      <w:rPr>
        <w:rFonts w:hint="default"/>
        <w:b/>
        <w:lang w:val="en-US"/>
      </w:rPr>
      <w:t xml:space="preserve">           </w:t>
    </w:r>
    <w:r>
      <w:rPr>
        <w:b/>
      </w:rPr>
      <w:t>Jurnal Elektronika dan Telekomunikasi (JET)</w:t>
    </w:r>
    <w:r>
      <w:t>, Vol. 2</w:t>
    </w:r>
    <w:r>
      <w:rPr>
        <w:rFonts w:hint="default"/>
        <w:lang w:val="en-US"/>
      </w:rPr>
      <w:t>5</w:t>
    </w:r>
    <w:r>
      <w:t>, No.</w:t>
    </w:r>
    <w:r>
      <w:rPr>
        <w:rFonts w:hint="default"/>
        <w:lang w:val="en-US"/>
      </w:rPr>
      <w:t xml:space="preserve"> 2</w:t>
    </w:r>
    <w:r>
      <w:t xml:space="preserve">, </w:t>
    </w:r>
    <w:r>
      <w:rPr>
        <w:rFonts w:hint="default"/>
        <w:lang w:val="en-US"/>
      </w:rPr>
      <w:t xml:space="preserve">December </w:t>
    </w:r>
    <w:r>
      <w:rPr>
        <w:lang w:val="en-US"/>
      </w:rPr>
      <w:t>202</w:t>
    </w:r>
    <w:r>
      <w:rPr>
        <w:rFonts w:hint="default"/>
        <w:lang w:val="en-US"/>
      </w:rPr>
      <w:t>5</w:t>
    </w:r>
    <w:r>
      <w:t xml:space="preserve">, pp. </w:t>
    </w:r>
    <w:r>
      <w:rPr>
        <w:rFonts w:hint="default"/>
        <w:sz w:val="20"/>
        <w:lang w:val="en-US"/>
      </w:rPr>
      <mc:AlternateContent>
        <mc:Choice Requires="wps">
          <w:drawing>
            <wp:anchor distT="0" distB="0" distL="114300" distR="114300" simplePos="0" relativeHeight="251661312" behindDoc="0" locked="0" layoutInCell="1" allowOverlap="1">
              <wp:simplePos x="0" y="0"/>
              <wp:positionH relativeFrom="margin">
                <wp:posOffset>2853055</wp:posOffset>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F4E4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4.65pt;margin-top:0pt;height:144pt;width:144pt;mso-position-horizontal-relative:margin;mso-wrap-style:none;z-index:251661312;mso-width-relative:page;mso-height-relative:page;" filled="f" stroked="f" coordsize="21600,21600" o:gfxdata="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U61Z1QAA&#10;AAgBAAAPAAAAAAAAAAEAIAAAACIAAABkcnMvZG93bnJldi54bWxQSwECFAAUAAAACACHTuJAZkBm&#10;RCECAABiBAAADgAAAAAAAAABACAAAAAkAQAAZHJzL2Uyb0RvYy54bWxQSwUGAAAAAAYABgBZAQAA&#10;twUAAAAA&#10;">
              <v:fill on="f" focussize="0,0"/>
              <v:stroke on="f" weight="0.5pt"/>
              <v:imagedata o:title=""/>
              <o:lock v:ext="edit" aspectratio="f"/>
              <v:textbox inset="0mm,0mm,0mm,0mm" style="mso-fit-shape-to-text:t;">
                <w:txbxContent>
                  <w:p w14:paraId="3BBF4E4E"/>
                </w:txbxContent>
              </v:textbox>
            </v:shape>
          </w:pict>
        </mc:Fallback>
      </mc:AlternateContent>
    </w:r>
    <w:r>
      <w:rPr>
        <w:rFonts w:hint="default"/>
        <w:sz w:val="20"/>
        <w:lang w:val="en-US"/>
      </w:rPr>
      <mc:AlternateContent>
        <mc:Choice Requires="wps">
          <w:drawing>
            <wp:anchor distT="0" distB="0" distL="114300" distR="114300" simplePos="0" relativeHeight="251661312" behindDoc="0" locked="0" layoutInCell="1" allowOverlap="1">
              <wp:simplePos x="0" y="0"/>
              <wp:positionH relativeFrom="margin">
                <wp:posOffset>2831465</wp:posOffset>
              </wp:positionH>
              <wp:positionV relativeFrom="paragraph">
                <wp:posOffset>4445</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1703AC">
                          <w:pPr>
                            <w:pStyle w:val="16"/>
                          </w:pPr>
                        </w:p>
                      </w:txbxContent>
                    </wps:txbx>
                    <wps:bodyPr wrap="none" lIns="0" tIns="0" rIns="0" bIns="0" upright="0">
                      <a:spAutoFit/>
                    </wps:bodyPr>
                  </wps:wsp>
                </a:graphicData>
              </a:graphic>
            </wp:anchor>
          </w:drawing>
        </mc:Choice>
        <mc:Fallback>
          <w:pict>
            <v:shape id="_x0000_s1026" o:spid="_x0000_s1026" o:spt="202" type="#_x0000_t202" style="position:absolute;left:0pt;margin-left:222.95pt;margin-top:0.35pt;height:144pt;width:144pt;mso-position-horizontal-relative:margin;mso-wrap-style:none;z-index:251661312;mso-width-relative:page;mso-height-relative:page;" filled="f" stroked="f" coordsize="21600,21600" o:gfxdata="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K2OydUAAAAIAQAADwAAAAAAAAABACAAAAAiAAAAZHJzL2Rvd25yZXYueG1sUEsBAhQAFAAA&#10;AAgAh07iQHj9/y25AQAAmgMAAA4AAAAAAAAAAQAgAAAAJAEAAGRycy9lMm9Eb2MueG1sUEsFBgAA&#10;AAAGAAYAWQEAAE8FAAAAAA==&#10;">
              <v:fill on="f" focussize="0,0"/>
              <v:stroke on="f"/>
              <v:imagedata o:title=""/>
              <o:lock v:ext="edit" aspectratio="f"/>
              <v:textbox inset="0mm,0mm,0mm,0mm" style="mso-fit-shape-to-text:t;">
                <w:txbxContent>
                  <w:p w14:paraId="781703AC">
                    <w:pPr>
                      <w:pStyle w:val="16"/>
                    </w:pPr>
                  </w:p>
                </w:txbxContent>
              </v:textbox>
            </v:shape>
          </w:pict>
        </mc:Fallback>
      </mc:AlternateContent>
    </w:r>
    <w:r>
      <w:rPr>
        <w:rFonts w:hint="default"/>
        <w:lang w:val="en-US"/>
      </w:rPr>
      <w:drawing>
        <wp:anchor distT="0" distB="0" distL="114300" distR="114300" simplePos="0" relativeHeight="251660288" behindDoc="0" locked="0" layoutInCell="1" allowOverlap="1">
          <wp:simplePos x="0" y="0"/>
          <wp:positionH relativeFrom="column">
            <wp:posOffset>-36830</wp:posOffset>
          </wp:positionH>
          <wp:positionV relativeFrom="paragraph">
            <wp:posOffset>-63500</wp:posOffset>
          </wp:positionV>
          <wp:extent cx="749300" cy="466090"/>
          <wp:effectExtent l="0" t="0" r="12700" b="6350"/>
          <wp:wrapSquare wrapText="bothSides"/>
          <wp:docPr id="41" name="Picture 41"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chaeriah\Videos\JET_logo.png"/>
                  <pic:cNvPicPr>
                    <a:picLocks noChangeAspect="1"/>
                  </pic:cNvPicPr>
                </pic:nvPicPr>
                <pic:blipFill>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a:fillRect/>
                  </a:stretch>
                </pic:blipFill>
                <pic:spPr>
                  <a:xfrm>
                    <a:off x="0" y="0"/>
                    <a:ext cx="749300" cy="466090"/>
                  </a:xfrm>
                  <a:prstGeom prst="rect">
                    <a:avLst/>
                  </a:prstGeom>
                  <a:noFill/>
                  <a:ln>
                    <a:noFill/>
                  </a:ln>
                </pic:spPr>
              </pic:pic>
            </a:graphicData>
          </a:graphic>
        </wp:anchor>
      </w:drawing>
    </w:r>
    <w:r>
      <w:rPr>
        <w:rFonts w:hint="default"/>
        <w:lang w:val="en-US"/>
      </w:rPr>
      <w:t>162-169</w:t>
    </w:r>
    <w:r>
      <w:rPr>
        <w:rFonts w:hint="default"/>
        <w:b/>
        <w:lang w:val="en-US"/>
      </w:rPr>
      <w:tab/>
    </w:r>
    <w:r>
      <w:rPr>
        <w:rFonts w:hint="default"/>
        <w:b/>
        <w:lang w:val="en-US"/>
      </w:rPr>
      <w:t xml:space="preserve">   </w:t>
    </w:r>
  </w:p>
  <w:p w14:paraId="00856137">
    <w:pPr>
      <w:pStyle w:val="16"/>
      <w:pBdr>
        <w:bottom w:val="none" w:color="auto" w:sz="0" w:space="0"/>
      </w:pBdr>
      <w:ind w:left="1134" w:firstLine="0"/>
      <w:rPr>
        <w:lang w:val="en-US"/>
      </w:rPr>
    </w:pPr>
    <w:r>
      <w:t xml:space="preserve">Accredited by RISTEKDIKTI, Decree No: </w:t>
    </w:r>
    <w:r>
      <w:rPr>
        <w:b/>
        <w:bCs/>
        <w:lang w:val="en-US"/>
      </w:rPr>
      <w:t>158</w:t>
    </w:r>
    <w:r>
      <w:rPr>
        <w:b/>
        <w:bCs/>
        <w:iCs/>
      </w:rPr>
      <w:t>/E/KPT/20</w:t>
    </w:r>
    <w:r>
      <w:rPr>
        <w:b/>
        <w:bCs/>
        <w:iCs/>
        <w:lang w:val="en-US"/>
      </w:rPr>
      <w:t>21</w:t>
    </w:r>
  </w:p>
  <w:p w14:paraId="1771E7D5">
    <w:pPr>
      <w:pStyle w:val="16"/>
      <w:pBdr>
        <w:bottom w:val="none" w:color="auto" w:sz="0" w:space="0"/>
      </w:pBdr>
      <w:ind w:left="1134" w:firstLine="0"/>
      <w:rPr>
        <w:rFonts w:hint="default"/>
        <w:lang w:val="en-US"/>
      </w:rPr>
    </w:pPr>
    <w:r>
      <w:rPr>
        <w:lang w:eastAsia="id-ID"/>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192405</wp:posOffset>
              </wp:positionV>
              <wp:extent cx="5965825" cy="0"/>
              <wp:effectExtent l="0" t="19050" r="8255" b="26670"/>
              <wp:wrapNone/>
              <wp:docPr id="20" name="Straight Connector 20"/>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a:effectLst/>
                    </wps:spPr>
                    <wps:bodyPr/>
                  </wps:wsp>
                </a:graphicData>
              </a:graphic>
            </wp:anchor>
          </w:drawing>
        </mc:Choice>
        <mc:Fallback>
          <w:pict>
            <v:line id="_x0000_s1026" o:spid="_x0000_s1026" o:spt="20" style="position:absolute;left:0pt;margin-left:-1.4pt;margin-top:15.15pt;height:0pt;width:469.75pt;z-index:251659264;mso-width-relative:page;mso-height-relative:page;" filled="f" stroked="t" coordsize="21600,21600" o:gfxdata="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ppAgP1gAAAAgBAAAP&#10;AAAAAAAAAAEAIAAAACIAAABkcnMvZG93bnJldi54bWxQSwECFAAUAAAACACHTuJAPxusEeEBAADJ&#10;AwAADgAAAAAAAAABACAAAAAlAQAAZHJzL2Uyb0RvYy54bWxQSwUGAAAAAAYABgBZAQAAeAUAAAAA&#10;">
              <v:fill on="f" focussize="0,0"/>
              <v:stroke weight="3pt" color="#000000" linestyle="thinThin" joinstyle="round"/>
              <v:imagedata o:title=""/>
              <o:lock v:ext="edit" aspectratio="f"/>
            </v:line>
          </w:pict>
        </mc:Fallback>
      </mc:AlternateContent>
    </w:r>
    <w:r>
      <w:t>doi: 10.</w:t>
    </w:r>
    <w:r>
      <w:rPr>
        <w:lang w:val="en-US"/>
      </w:rPr>
      <w:t>55981</w:t>
    </w:r>
    <w:r>
      <w:t>/jet.</w:t>
    </w:r>
    <w:r>
      <w:rPr>
        <w:rFonts w:hint="default"/>
        <w:lang w:val="en-US"/>
      </w:rPr>
      <w:t>749</w:t>
    </w:r>
  </w:p>
  <w:p w14:paraId="1EB46ED9">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E2E4D"/>
    <w:multiLevelType w:val="multilevel"/>
    <w:tmpl w:val="023E2E4D"/>
    <w:lvl w:ilvl="0" w:tentative="0">
      <w:start w:val="1"/>
      <w:numFmt w:val="upperRoman"/>
      <w:pStyle w:val="56"/>
      <w:lvlText w:val="%1."/>
      <w:lvlJc w:val="left"/>
      <w:pPr>
        <w:tabs>
          <w:tab w:val="left" w:pos="288"/>
        </w:tabs>
        <w:ind w:left="288" w:hanging="288"/>
      </w:pPr>
      <w:rPr>
        <w:rFonts w:hint="default" w:ascii="Times New Roman" w:hAnsi="Times New Roman" w:eastAsia="Arial Unicode MS" w:cs="Times New Roman"/>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093D103A"/>
    <w:multiLevelType w:val="multilevel"/>
    <w:tmpl w:val="093D103A"/>
    <w:lvl w:ilvl="0" w:tentative="0">
      <w:start w:val="1"/>
      <w:numFmt w:val="upperRoman"/>
      <w:pStyle w:val="2"/>
      <w:lvlText w:val="%1."/>
      <w:lvlJc w:val="left"/>
      <w:pPr>
        <w:ind w:left="360" w:hanging="360"/>
      </w:pPr>
      <w:rPr>
        <w:rFonts w:hint="default"/>
        <w:color w:val="auto"/>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1DB136AD"/>
    <w:multiLevelType w:val="multilevel"/>
    <w:tmpl w:val="1DB136AD"/>
    <w:lvl w:ilvl="0" w:tentative="0">
      <w:start w:val="1"/>
      <w:numFmt w:val="decimal"/>
      <w:pStyle w:val="4"/>
      <w:lvlText w:val="%1)"/>
      <w:lvlJc w:val="left"/>
      <w:pPr>
        <w:ind w:left="360" w:hanging="360"/>
      </w:pPr>
      <w:rPr>
        <w:rFonts w:hint="default"/>
        <w:color w:val="000000" w:themeColor="text1"/>
        <w14:textFill>
          <w14:solidFill>
            <w14:schemeClr w14:val="tx1"/>
          </w14:solidFill>
        </w14:textFil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26111FF6"/>
    <w:multiLevelType w:val="multilevel"/>
    <w:tmpl w:val="26111FF6"/>
    <w:lvl w:ilvl="0" w:tentative="0">
      <w:start w:val="1"/>
      <w:numFmt w:val="upperRoman"/>
      <w:pStyle w:val="23"/>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2CAD2F3A"/>
    <w:multiLevelType w:val="multilevel"/>
    <w:tmpl w:val="2CAD2F3A"/>
    <w:lvl w:ilvl="0" w:tentative="0">
      <w:start w:val="1"/>
      <w:numFmt w:val="lowerLetter"/>
      <w:pStyle w:val="5"/>
      <w:lvlText w:val="%1)"/>
      <w:lvlJc w:val="left"/>
      <w:pPr>
        <w:ind w:left="644" w:hanging="360"/>
      </w:pPr>
      <w:rPr>
        <w:rFonts w:hint="default"/>
        <w:i/>
        <w:color w:val="000000" w:themeColor="text1"/>
        <w14:textFill>
          <w14:solidFill>
            <w14:schemeClr w14:val="tx1"/>
          </w14:solidFill>
        </w14:textFill>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5">
    <w:nsid w:val="30C653B9"/>
    <w:multiLevelType w:val="multilevel"/>
    <w:tmpl w:val="30C653B9"/>
    <w:lvl w:ilvl="0" w:tentative="0">
      <w:start w:val="1"/>
      <w:numFmt w:val="upperLetter"/>
      <w:pStyle w:val="3"/>
      <w:lvlText w:val="%1."/>
      <w:lvlJc w:val="left"/>
      <w:pPr>
        <w:ind w:left="360" w:hanging="360"/>
      </w:pPr>
      <w:rPr>
        <w:rFonts w:hint="default"/>
        <w:color w:val="000000" w:themeColor="text1"/>
        <w14:textFill>
          <w14:solidFill>
            <w14:schemeClr w14:val="tx1"/>
          </w14:solidFill>
        </w14:textFil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3EDB2783"/>
    <w:multiLevelType w:val="multilevel"/>
    <w:tmpl w:val="3EDB2783"/>
    <w:lvl w:ilvl="0" w:tentative="0">
      <w:start w:val="1"/>
      <w:numFmt w:val="upperLetter"/>
      <w:pStyle w:val="24"/>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50232215"/>
    <w:multiLevelType w:val="multilevel"/>
    <w:tmpl w:val="50232215"/>
    <w:lvl w:ilvl="0" w:tentative="0">
      <w:start w:val="1"/>
      <w:numFmt w:val="upperLetter"/>
      <w:pStyle w:val="54"/>
      <w:lvlText w:val="%1."/>
      <w:lvlJc w:val="left"/>
      <w:pPr>
        <w:tabs>
          <w:tab w:val="left" w:pos="288"/>
        </w:tabs>
        <w:ind w:left="288" w:hanging="288"/>
      </w:pPr>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num w:numId="1">
    <w:abstractNumId w:val="1"/>
  </w:num>
  <w:num w:numId="2">
    <w:abstractNumId w:val="5"/>
  </w:num>
  <w:num w:numId="3">
    <w:abstractNumId w:val="2"/>
  </w:num>
  <w:num w:numId="4">
    <w:abstractNumId w:val="4"/>
  </w:num>
  <w:num w:numId="5">
    <w:abstractNumId w:val="3"/>
  </w:num>
  <w:num w:numId="6">
    <w:abstractNumId w:val="6"/>
  </w:num>
  <w:num w:numId="7">
    <w:abstractNumId w:val="7"/>
  </w:num>
  <w:num w:numId="8">
    <w:abstractNumId w:val="0"/>
  </w:num>
  <w:num w:numId="9">
    <w:abstractNumId w:val="5"/>
    <w:lvlOverride w:ilvl="0">
      <w:startOverride w:val="1"/>
    </w:lvlOverride>
  </w:num>
  <w:num w:numId="10">
    <w:abstractNumId w:val="5"/>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evenAndOddHeaders w:val="1"/>
  <w:characterSpacingControl w:val="doNotCompress"/>
  <w:footnotePr>
    <w:numFmt w:val="chicago"/>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A0NzExNjAxtDAwMDZW0lEKTi0uzszPAykwNKoFAE7M1AAtAAAA"/>
  </w:docVars>
  <w:rsids>
    <w:rsidRoot w:val="009431ED"/>
    <w:rsid w:val="000001BB"/>
    <w:rsid w:val="00000A6A"/>
    <w:rsid w:val="00003645"/>
    <w:rsid w:val="00011CC0"/>
    <w:rsid w:val="00012AA4"/>
    <w:rsid w:val="000135D7"/>
    <w:rsid w:val="00016DB5"/>
    <w:rsid w:val="00021807"/>
    <w:rsid w:val="00022725"/>
    <w:rsid w:val="00030518"/>
    <w:rsid w:val="00032AD0"/>
    <w:rsid w:val="000360C4"/>
    <w:rsid w:val="00037D72"/>
    <w:rsid w:val="00040150"/>
    <w:rsid w:val="00057D1C"/>
    <w:rsid w:val="00060B8E"/>
    <w:rsid w:val="000642F3"/>
    <w:rsid w:val="0007439F"/>
    <w:rsid w:val="00074D5D"/>
    <w:rsid w:val="00077D19"/>
    <w:rsid w:val="0008014D"/>
    <w:rsid w:val="00080872"/>
    <w:rsid w:val="000813C4"/>
    <w:rsid w:val="00082AAD"/>
    <w:rsid w:val="00084C56"/>
    <w:rsid w:val="00086E06"/>
    <w:rsid w:val="000924BA"/>
    <w:rsid w:val="0009779B"/>
    <w:rsid w:val="000A2BC0"/>
    <w:rsid w:val="000B70E0"/>
    <w:rsid w:val="000C2A06"/>
    <w:rsid w:val="000C76F1"/>
    <w:rsid w:val="000C7F61"/>
    <w:rsid w:val="000D0E05"/>
    <w:rsid w:val="000D24E5"/>
    <w:rsid w:val="000D27D7"/>
    <w:rsid w:val="000D60B1"/>
    <w:rsid w:val="000E6524"/>
    <w:rsid w:val="000F1C43"/>
    <w:rsid w:val="000F58FF"/>
    <w:rsid w:val="000F5C2B"/>
    <w:rsid w:val="000F7987"/>
    <w:rsid w:val="001024FC"/>
    <w:rsid w:val="00105FEE"/>
    <w:rsid w:val="001073ED"/>
    <w:rsid w:val="001126E4"/>
    <w:rsid w:val="00115C48"/>
    <w:rsid w:val="00125EE9"/>
    <w:rsid w:val="001344DD"/>
    <w:rsid w:val="00137A72"/>
    <w:rsid w:val="00141248"/>
    <w:rsid w:val="00141A15"/>
    <w:rsid w:val="00151393"/>
    <w:rsid w:val="00155B36"/>
    <w:rsid w:val="00156C17"/>
    <w:rsid w:val="00157451"/>
    <w:rsid w:val="001603D8"/>
    <w:rsid w:val="00163B42"/>
    <w:rsid w:val="001677AB"/>
    <w:rsid w:val="001703B3"/>
    <w:rsid w:val="001751CD"/>
    <w:rsid w:val="0018553F"/>
    <w:rsid w:val="00185ADB"/>
    <w:rsid w:val="00187245"/>
    <w:rsid w:val="001A0838"/>
    <w:rsid w:val="001A0E07"/>
    <w:rsid w:val="001B3DAC"/>
    <w:rsid w:val="001C1DE8"/>
    <w:rsid w:val="001C2CB3"/>
    <w:rsid w:val="001C4D92"/>
    <w:rsid w:val="001D50BA"/>
    <w:rsid w:val="001D6C51"/>
    <w:rsid w:val="001E04EE"/>
    <w:rsid w:val="001F14BF"/>
    <w:rsid w:val="001F27C6"/>
    <w:rsid w:val="001F70CD"/>
    <w:rsid w:val="001F72D1"/>
    <w:rsid w:val="001F7907"/>
    <w:rsid w:val="0020093F"/>
    <w:rsid w:val="00202B04"/>
    <w:rsid w:val="002117C3"/>
    <w:rsid w:val="002127CE"/>
    <w:rsid w:val="002171F8"/>
    <w:rsid w:val="002174A5"/>
    <w:rsid w:val="0022083B"/>
    <w:rsid w:val="002222AA"/>
    <w:rsid w:val="00225D60"/>
    <w:rsid w:val="00235716"/>
    <w:rsid w:val="002673DE"/>
    <w:rsid w:val="002748C9"/>
    <w:rsid w:val="00275522"/>
    <w:rsid w:val="0028270D"/>
    <w:rsid w:val="00291BAD"/>
    <w:rsid w:val="0029789D"/>
    <w:rsid w:val="002A014C"/>
    <w:rsid w:val="002A0D31"/>
    <w:rsid w:val="002A60CB"/>
    <w:rsid w:val="002A7B98"/>
    <w:rsid w:val="002C6F5D"/>
    <w:rsid w:val="002D1AB2"/>
    <w:rsid w:val="002D4FBF"/>
    <w:rsid w:val="002D6170"/>
    <w:rsid w:val="002D6291"/>
    <w:rsid w:val="002E0949"/>
    <w:rsid w:val="002E0BC2"/>
    <w:rsid w:val="002E5DA6"/>
    <w:rsid w:val="002E6A93"/>
    <w:rsid w:val="002F2DA5"/>
    <w:rsid w:val="003017BE"/>
    <w:rsid w:val="00307C7F"/>
    <w:rsid w:val="00313E92"/>
    <w:rsid w:val="003147DB"/>
    <w:rsid w:val="0032018A"/>
    <w:rsid w:val="00322DF1"/>
    <w:rsid w:val="00330293"/>
    <w:rsid w:val="00330BB0"/>
    <w:rsid w:val="00334C3C"/>
    <w:rsid w:val="00343816"/>
    <w:rsid w:val="00346E33"/>
    <w:rsid w:val="0034739A"/>
    <w:rsid w:val="00352C1D"/>
    <w:rsid w:val="00355798"/>
    <w:rsid w:val="003666E5"/>
    <w:rsid w:val="00366AD2"/>
    <w:rsid w:val="00366D6F"/>
    <w:rsid w:val="00370DC5"/>
    <w:rsid w:val="00374471"/>
    <w:rsid w:val="00375A56"/>
    <w:rsid w:val="00376B97"/>
    <w:rsid w:val="00380676"/>
    <w:rsid w:val="0039100C"/>
    <w:rsid w:val="00391CF2"/>
    <w:rsid w:val="00394542"/>
    <w:rsid w:val="00396BCF"/>
    <w:rsid w:val="003A03E0"/>
    <w:rsid w:val="003A1E8D"/>
    <w:rsid w:val="003A4D19"/>
    <w:rsid w:val="003A4D5D"/>
    <w:rsid w:val="003A7F3A"/>
    <w:rsid w:val="003B47A6"/>
    <w:rsid w:val="003B4A29"/>
    <w:rsid w:val="003B7792"/>
    <w:rsid w:val="003C1377"/>
    <w:rsid w:val="003C47D8"/>
    <w:rsid w:val="003E2585"/>
    <w:rsid w:val="003E395D"/>
    <w:rsid w:val="003F16C3"/>
    <w:rsid w:val="003F186B"/>
    <w:rsid w:val="003F1A61"/>
    <w:rsid w:val="003F7BCA"/>
    <w:rsid w:val="00400DC6"/>
    <w:rsid w:val="0040318F"/>
    <w:rsid w:val="0040754A"/>
    <w:rsid w:val="00407976"/>
    <w:rsid w:val="004121ED"/>
    <w:rsid w:val="0043116B"/>
    <w:rsid w:val="0044046D"/>
    <w:rsid w:val="004407B4"/>
    <w:rsid w:val="00440FAA"/>
    <w:rsid w:val="0044227D"/>
    <w:rsid w:val="00450ABF"/>
    <w:rsid w:val="00451A98"/>
    <w:rsid w:val="00452AE5"/>
    <w:rsid w:val="0045306B"/>
    <w:rsid w:val="0046174B"/>
    <w:rsid w:val="00473AC1"/>
    <w:rsid w:val="004754ED"/>
    <w:rsid w:val="0047792D"/>
    <w:rsid w:val="0048450F"/>
    <w:rsid w:val="0048509F"/>
    <w:rsid w:val="00485928"/>
    <w:rsid w:val="004912A3"/>
    <w:rsid w:val="00492F46"/>
    <w:rsid w:val="00493D75"/>
    <w:rsid w:val="004942A6"/>
    <w:rsid w:val="00496E51"/>
    <w:rsid w:val="004A4D13"/>
    <w:rsid w:val="004A501F"/>
    <w:rsid w:val="004A5FD6"/>
    <w:rsid w:val="004A6207"/>
    <w:rsid w:val="004B13CB"/>
    <w:rsid w:val="004B5B12"/>
    <w:rsid w:val="004C4683"/>
    <w:rsid w:val="004E7253"/>
    <w:rsid w:val="004E7D10"/>
    <w:rsid w:val="004F2B1B"/>
    <w:rsid w:val="00501F90"/>
    <w:rsid w:val="00502F1E"/>
    <w:rsid w:val="00506F79"/>
    <w:rsid w:val="005109C5"/>
    <w:rsid w:val="005114B8"/>
    <w:rsid w:val="005163AB"/>
    <w:rsid w:val="00525263"/>
    <w:rsid w:val="00526D19"/>
    <w:rsid w:val="0052700D"/>
    <w:rsid w:val="00536593"/>
    <w:rsid w:val="00536C93"/>
    <w:rsid w:val="00541A73"/>
    <w:rsid w:val="00543332"/>
    <w:rsid w:val="00546127"/>
    <w:rsid w:val="005556CE"/>
    <w:rsid w:val="0055785B"/>
    <w:rsid w:val="00565664"/>
    <w:rsid w:val="005678B4"/>
    <w:rsid w:val="00567BC2"/>
    <w:rsid w:val="00571024"/>
    <w:rsid w:val="005732B6"/>
    <w:rsid w:val="00576F8D"/>
    <w:rsid w:val="005803CA"/>
    <w:rsid w:val="0059379B"/>
    <w:rsid w:val="00593CE3"/>
    <w:rsid w:val="005A268C"/>
    <w:rsid w:val="005A3B71"/>
    <w:rsid w:val="005A5B1D"/>
    <w:rsid w:val="005B12BE"/>
    <w:rsid w:val="005B182C"/>
    <w:rsid w:val="005B2302"/>
    <w:rsid w:val="005B3334"/>
    <w:rsid w:val="005C127B"/>
    <w:rsid w:val="005C608B"/>
    <w:rsid w:val="005E24F0"/>
    <w:rsid w:val="005E349E"/>
    <w:rsid w:val="005F158E"/>
    <w:rsid w:val="005F1834"/>
    <w:rsid w:val="005F24BF"/>
    <w:rsid w:val="005F3557"/>
    <w:rsid w:val="005F6B8B"/>
    <w:rsid w:val="005F6C7A"/>
    <w:rsid w:val="005F7D3A"/>
    <w:rsid w:val="00601636"/>
    <w:rsid w:val="00610FEA"/>
    <w:rsid w:val="00622E9B"/>
    <w:rsid w:val="006248A5"/>
    <w:rsid w:val="00635DEA"/>
    <w:rsid w:val="00643F6E"/>
    <w:rsid w:val="006444E6"/>
    <w:rsid w:val="0064667D"/>
    <w:rsid w:val="00650960"/>
    <w:rsid w:val="00652376"/>
    <w:rsid w:val="006525C2"/>
    <w:rsid w:val="00653CC4"/>
    <w:rsid w:val="006546A8"/>
    <w:rsid w:val="00654BCB"/>
    <w:rsid w:val="006577DD"/>
    <w:rsid w:val="00665088"/>
    <w:rsid w:val="00672AD8"/>
    <w:rsid w:val="00675DD9"/>
    <w:rsid w:val="0068196A"/>
    <w:rsid w:val="00683155"/>
    <w:rsid w:val="00683485"/>
    <w:rsid w:val="00684A2F"/>
    <w:rsid w:val="00686A96"/>
    <w:rsid w:val="006874AC"/>
    <w:rsid w:val="0069243F"/>
    <w:rsid w:val="006928D8"/>
    <w:rsid w:val="00693E6A"/>
    <w:rsid w:val="006A26AF"/>
    <w:rsid w:val="006A3464"/>
    <w:rsid w:val="006A6643"/>
    <w:rsid w:val="006B42FD"/>
    <w:rsid w:val="006C08C1"/>
    <w:rsid w:val="006C0B3A"/>
    <w:rsid w:val="006C4EB1"/>
    <w:rsid w:val="006D504B"/>
    <w:rsid w:val="006D73B7"/>
    <w:rsid w:val="006E00ED"/>
    <w:rsid w:val="006E0469"/>
    <w:rsid w:val="006E2689"/>
    <w:rsid w:val="006F0782"/>
    <w:rsid w:val="006F104D"/>
    <w:rsid w:val="006F237D"/>
    <w:rsid w:val="006F3F9B"/>
    <w:rsid w:val="006F55B9"/>
    <w:rsid w:val="00705BA4"/>
    <w:rsid w:val="007069CD"/>
    <w:rsid w:val="00711764"/>
    <w:rsid w:val="007207CD"/>
    <w:rsid w:val="00721BEF"/>
    <w:rsid w:val="00730285"/>
    <w:rsid w:val="00730322"/>
    <w:rsid w:val="007331B8"/>
    <w:rsid w:val="00737A6A"/>
    <w:rsid w:val="007439BC"/>
    <w:rsid w:val="00743ACD"/>
    <w:rsid w:val="00745FC1"/>
    <w:rsid w:val="007468AC"/>
    <w:rsid w:val="00750D83"/>
    <w:rsid w:val="007564CC"/>
    <w:rsid w:val="007726CB"/>
    <w:rsid w:val="00774EFA"/>
    <w:rsid w:val="00780D50"/>
    <w:rsid w:val="007853EA"/>
    <w:rsid w:val="007869FA"/>
    <w:rsid w:val="007915C6"/>
    <w:rsid w:val="00793CEE"/>
    <w:rsid w:val="007A17B1"/>
    <w:rsid w:val="007A7253"/>
    <w:rsid w:val="007B1892"/>
    <w:rsid w:val="007B5E46"/>
    <w:rsid w:val="007B78B9"/>
    <w:rsid w:val="007C07F6"/>
    <w:rsid w:val="007C1DF9"/>
    <w:rsid w:val="007C588D"/>
    <w:rsid w:val="007D0DED"/>
    <w:rsid w:val="007E02A6"/>
    <w:rsid w:val="007E4557"/>
    <w:rsid w:val="007F1A51"/>
    <w:rsid w:val="007F1C9A"/>
    <w:rsid w:val="007F1FA9"/>
    <w:rsid w:val="007F79DF"/>
    <w:rsid w:val="007F7CD1"/>
    <w:rsid w:val="00805B4B"/>
    <w:rsid w:val="0081126A"/>
    <w:rsid w:val="0082003D"/>
    <w:rsid w:val="00826F74"/>
    <w:rsid w:val="00831456"/>
    <w:rsid w:val="0083351D"/>
    <w:rsid w:val="00837C09"/>
    <w:rsid w:val="00842975"/>
    <w:rsid w:val="0084367B"/>
    <w:rsid w:val="00843E83"/>
    <w:rsid w:val="008534FC"/>
    <w:rsid w:val="00854C08"/>
    <w:rsid w:val="008663B7"/>
    <w:rsid w:val="008754AD"/>
    <w:rsid w:val="008759DB"/>
    <w:rsid w:val="00876A8C"/>
    <w:rsid w:val="00880964"/>
    <w:rsid w:val="008825BC"/>
    <w:rsid w:val="00887A40"/>
    <w:rsid w:val="0089178B"/>
    <w:rsid w:val="00897F8B"/>
    <w:rsid w:val="008A0554"/>
    <w:rsid w:val="008A1FAC"/>
    <w:rsid w:val="008A293D"/>
    <w:rsid w:val="008A53C1"/>
    <w:rsid w:val="008A5628"/>
    <w:rsid w:val="008B2680"/>
    <w:rsid w:val="008B2FC3"/>
    <w:rsid w:val="008B366E"/>
    <w:rsid w:val="008B5694"/>
    <w:rsid w:val="008C2842"/>
    <w:rsid w:val="008C5AD7"/>
    <w:rsid w:val="008C7A28"/>
    <w:rsid w:val="008D0643"/>
    <w:rsid w:val="008D35E5"/>
    <w:rsid w:val="008D5347"/>
    <w:rsid w:val="008E6CDC"/>
    <w:rsid w:val="008E75EB"/>
    <w:rsid w:val="008F5FEF"/>
    <w:rsid w:val="009025EB"/>
    <w:rsid w:val="00902C30"/>
    <w:rsid w:val="00905423"/>
    <w:rsid w:val="00920101"/>
    <w:rsid w:val="009227C0"/>
    <w:rsid w:val="0092767F"/>
    <w:rsid w:val="00931338"/>
    <w:rsid w:val="00932055"/>
    <w:rsid w:val="00933CAD"/>
    <w:rsid w:val="0094260D"/>
    <w:rsid w:val="009431ED"/>
    <w:rsid w:val="00950A18"/>
    <w:rsid w:val="00952862"/>
    <w:rsid w:val="00957442"/>
    <w:rsid w:val="00962B06"/>
    <w:rsid w:val="0096438B"/>
    <w:rsid w:val="0097047E"/>
    <w:rsid w:val="0097235E"/>
    <w:rsid w:val="00973249"/>
    <w:rsid w:val="009741C2"/>
    <w:rsid w:val="00983527"/>
    <w:rsid w:val="00984921"/>
    <w:rsid w:val="0098607C"/>
    <w:rsid w:val="00987007"/>
    <w:rsid w:val="009917E7"/>
    <w:rsid w:val="00991E9F"/>
    <w:rsid w:val="00993390"/>
    <w:rsid w:val="009949CD"/>
    <w:rsid w:val="009A0DBF"/>
    <w:rsid w:val="009B0B8D"/>
    <w:rsid w:val="009C1A47"/>
    <w:rsid w:val="009C3E14"/>
    <w:rsid w:val="009C6529"/>
    <w:rsid w:val="009D26A4"/>
    <w:rsid w:val="009D3462"/>
    <w:rsid w:val="009E0240"/>
    <w:rsid w:val="009E1234"/>
    <w:rsid w:val="009E25CC"/>
    <w:rsid w:val="009F128B"/>
    <w:rsid w:val="009F539D"/>
    <w:rsid w:val="00A07351"/>
    <w:rsid w:val="00A07991"/>
    <w:rsid w:val="00A17D04"/>
    <w:rsid w:val="00A17FCC"/>
    <w:rsid w:val="00A20B1D"/>
    <w:rsid w:val="00A23761"/>
    <w:rsid w:val="00A307D3"/>
    <w:rsid w:val="00A31C5B"/>
    <w:rsid w:val="00A37DE7"/>
    <w:rsid w:val="00A44473"/>
    <w:rsid w:val="00A5781E"/>
    <w:rsid w:val="00A57BBF"/>
    <w:rsid w:val="00A61EA0"/>
    <w:rsid w:val="00A67D95"/>
    <w:rsid w:val="00A72F6F"/>
    <w:rsid w:val="00A8278A"/>
    <w:rsid w:val="00A90C25"/>
    <w:rsid w:val="00A90C7C"/>
    <w:rsid w:val="00A94D7C"/>
    <w:rsid w:val="00A97E79"/>
    <w:rsid w:val="00A97F76"/>
    <w:rsid w:val="00AA1CF2"/>
    <w:rsid w:val="00AA676A"/>
    <w:rsid w:val="00AA6E86"/>
    <w:rsid w:val="00AB0BA4"/>
    <w:rsid w:val="00AB181D"/>
    <w:rsid w:val="00AB3165"/>
    <w:rsid w:val="00AB4C9F"/>
    <w:rsid w:val="00AC0EE1"/>
    <w:rsid w:val="00AC49AA"/>
    <w:rsid w:val="00AC6EA6"/>
    <w:rsid w:val="00AD0E8D"/>
    <w:rsid w:val="00AD3500"/>
    <w:rsid w:val="00AD3D48"/>
    <w:rsid w:val="00AD4D27"/>
    <w:rsid w:val="00AD5D55"/>
    <w:rsid w:val="00AD787E"/>
    <w:rsid w:val="00AE1028"/>
    <w:rsid w:val="00AE340C"/>
    <w:rsid w:val="00AE6D81"/>
    <w:rsid w:val="00B0167D"/>
    <w:rsid w:val="00B040CD"/>
    <w:rsid w:val="00B05C63"/>
    <w:rsid w:val="00B065D4"/>
    <w:rsid w:val="00B20715"/>
    <w:rsid w:val="00B25C74"/>
    <w:rsid w:val="00B265A3"/>
    <w:rsid w:val="00B35EE7"/>
    <w:rsid w:val="00B37472"/>
    <w:rsid w:val="00B41CA8"/>
    <w:rsid w:val="00B450FB"/>
    <w:rsid w:val="00B47E65"/>
    <w:rsid w:val="00B52308"/>
    <w:rsid w:val="00B52C0B"/>
    <w:rsid w:val="00B53B14"/>
    <w:rsid w:val="00B57D2F"/>
    <w:rsid w:val="00B60A71"/>
    <w:rsid w:val="00B61F0C"/>
    <w:rsid w:val="00B62E9A"/>
    <w:rsid w:val="00B71C81"/>
    <w:rsid w:val="00B76F1D"/>
    <w:rsid w:val="00B850F5"/>
    <w:rsid w:val="00B8637B"/>
    <w:rsid w:val="00BA1E4E"/>
    <w:rsid w:val="00BB0A41"/>
    <w:rsid w:val="00BC15DF"/>
    <w:rsid w:val="00BC2600"/>
    <w:rsid w:val="00BC4B2C"/>
    <w:rsid w:val="00BC50AF"/>
    <w:rsid w:val="00BC7BFD"/>
    <w:rsid w:val="00BD2957"/>
    <w:rsid w:val="00BD36B4"/>
    <w:rsid w:val="00BD51C7"/>
    <w:rsid w:val="00BD5DE9"/>
    <w:rsid w:val="00BD621A"/>
    <w:rsid w:val="00BD6397"/>
    <w:rsid w:val="00BE2359"/>
    <w:rsid w:val="00BE6D4E"/>
    <w:rsid w:val="00BF5491"/>
    <w:rsid w:val="00BF5825"/>
    <w:rsid w:val="00BF6B2B"/>
    <w:rsid w:val="00C01331"/>
    <w:rsid w:val="00C10D8B"/>
    <w:rsid w:val="00C10D99"/>
    <w:rsid w:val="00C110A6"/>
    <w:rsid w:val="00C14911"/>
    <w:rsid w:val="00C266B5"/>
    <w:rsid w:val="00C33E76"/>
    <w:rsid w:val="00C34779"/>
    <w:rsid w:val="00C35661"/>
    <w:rsid w:val="00C3656F"/>
    <w:rsid w:val="00C43A35"/>
    <w:rsid w:val="00C4464B"/>
    <w:rsid w:val="00C45601"/>
    <w:rsid w:val="00C4606F"/>
    <w:rsid w:val="00C512E1"/>
    <w:rsid w:val="00C5554E"/>
    <w:rsid w:val="00C62732"/>
    <w:rsid w:val="00C67626"/>
    <w:rsid w:val="00C74FFE"/>
    <w:rsid w:val="00C75E53"/>
    <w:rsid w:val="00C80BAE"/>
    <w:rsid w:val="00C8295C"/>
    <w:rsid w:val="00C87C53"/>
    <w:rsid w:val="00C9292B"/>
    <w:rsid w:val="00CA05CD"/>
    <w:rsid w:val="00CA476D"/>
    <w:rsid w:val="00CB2A86"/>
    <w:rsid w:val="00CB450A"/>
    <w:rsid w:val="00CB48FB"/>
    <w:rsid w:val="00CB537B"/>
    <w:rsid w:val="00CB58DB"/>
    <w:rsid w:val="00CC5B0C"/>
    <w:rsid w:val="00CC60DD"/>
    <w:rsid w:val="00CC6793"/>
    <w:rsid w:val="00CC68DE"/>
    <w:rsid w:val="00CC7905"/>
    <w:rsid w:val="00CD0026"/>
    <w:rsid w:val="00CD2110"/>
    <w:rsid w:val="00CE13B2"/>
    <w:rsid w:val="00CE3E26"/>
    <w:rsid w:val="00CE408B"/>
    <w:rsid w:val="00CF3A56"/>
    <w:rsid w:val="00D006DB"/>
    <w:rsid w:val="00D02F4C"/>
    <w:rsid w:val="00D06CD1"/>
    <w:rsid w:val="00D108F8"/>
    <w:rsid w:val="00D10EC4"/>
    <w:rsid w:val="00D12AF1"/>
    <w:rsid w:val="00D22C7B"/>
    <w:rsid w:val="00D26ED4"/>
    <w:rsid w:val="00D2781F"/>
    <w:rsid w:val="00D34E8E"/>
    <w:rsid w:val="00D45701"/>
    <w:rsid w:val="00D46938"/>
    <w:rsid w:val="00D541E0"/>
    <w:rsid w:val="00D63272"/>
    <w:rsid w:val="00D65284"/>
    <w:rsid w:val="00D84A37"/>
    <w:rsid w:val="00D94AB4"/>
    <w:rsid w:val="00D96061"/>
    <w:rsid w:val="00DA3679"/>
    <w:rsid w:val="00DB027D"/>
    <w:rsid w:val="00DB0F78"/>
    <w:rsid w:val="00DB1B3B"/>
    <w:rsid w:val="00DB2F9B"/>
    <w:rsid w:val="00DB414C"/>
    <w:rsid w:val="00DC7DC2"/>
    <w:rsid w:val="00DD07A7"/>
    <w:rsid w:val="00DD361A"/>
    <w:rsid w:val="00DD4C31"/>
    <w:rsid w:val="00DD7238"/>
    <w:rsid w:val="00DE0490"/>
    <w:rsid w:val="00DE13DE"/>
    <w:rsid w:val="00DF058F"/>
    <w:rsid w:val="00DF2045"/>
    <w:rsid w:val="00DF3EDF"/>
    <w:rsid w:val="00E026BD"/>
    <w:rsid w:val="00E0303F"/>
    <w:rsid w:val="00E13F34"/>
    <w:rsid w:val="00E21065"/>
    <w:rsid w:val="00E21FA8"/>
    <w:rsid w:val="00E25201"/>
    <w:rsid w:val="00E25458"/>
    <w:rsid w:val="00E27A0D"/>
    <w:rsid w:val="00E31E73"/>
    <w:rsid w:val="00E41B2C"/>
    <w:rsid w:val="00E43C96"/>
    <w:rsid w:val="00E44523"/>
    <w:rsid w:val="00E45A8E"/>
    <w:rsid w:val="00E46A44"/>
    <w:rsid w:val="00E541E6"/>
    <w:rsid w:val="00E55100"/>
    <w:rsid w:val="00E60B1D"/>
    <w:rsid w:val="00E66B23"/>
    <w:rsid w:val="00E76F98"/>
    <w:rsid w:val="00E81CB8"/>
    <w:rsid w:val="00E8431E"/>
    <w:rsid w:val="00E84A45"/>
    <w:rsid w:val="00E912EA"/>
    <w:rsid w:val="00E921CA"/>
    <w:rsid w:val="00E922A9"/>
    <w:rsid w:val="00EA1310"/>
    <w:rsid w:val="00EA1616"/>
    <w:rsid w:val="00EA60AD"/>
    <w:rsid w:val="00EA6C41"/>
    <w:rsid w:val="00EB3799"/>
    <w:rsid w:val="00EB37C8"/>
    <w:rsid w:val="00EC2494"/>
    <w:rsid w:val="00EE1B30"/>
    <w:rsid w:val="00EE6427"/>
    <w:rsid w:val="00EF400F"/>
    <w:rsid w:val="00F158D6"/>
    <w:rsid w:val="00F24033"/>
    <w:rsid w:val="00F25237"/>
    <w:rsid w:val="00F27AEB"/>
    <w:rsid w:val="00F3137C"/>
    <w:rsid w:val="00F3334E"/>
    <w:rsid w:val="00F33B4A"/>
    <w:rsid w:val="00F34FF3"/>
    <w:rsid w:val="00F35AC6"/>
    <w:rsid w:val="00F361FF"/>
    <w:rsid w:val="00F4017B"/>
    <w:rsid w:val="00F467BF"/>
    <w:rsid w:val="00F47BFE"/>
    <w:rsid w:val="00F514DA"/>
    <w:rsid w:val="00F546BE"/>
    <w:rsid w:val="00F573EA"/>
    <w:rsid w:val="00F668E4"/>
    <w:rsid w:val="00F70050"/>
    <w:rsid w:val="00F71D4A"/>
    <w:rsid w:val="00F752FF"/>
    <w:rsid w:val="00F76FC6"/>
    <w:rsid w:val="00F801D2"/>
    <w:rsid w:val="00F801ED"/>
    <w:rsid w:val="00F81467"/>
    <w:rsid w:val="00F905C6"/>
    <w:rsid w:val="00F907C3"/>
    <w:rsid w:val="00F96A4F"/>
    <w:rsid w:val="00F96F3E"/>
    <w:rsid w:val="00F97814"/>
    <w:rsid w:val="00FA4E58"/>
    <w:rsid w:val="00FA6A48"/>
    <w:rsid w:val="00FB5205"/>
    <w:rsid w:val="00FB72B2"/>
    <w:rsid w:val="00FC3AF1"/>
    <w:rsid w:val="00FC76C8"/>
    <w:rsid w:val="00FD20A5"/>
    <w:rsid w:val="00FD31DF"/>
    <w:rsid w:val="00FE01E6"/>
    <w:rsid w:val="00FE347A"/>
    <w:rsid w:val="00FE4F43"/>
    <w:rsid w:val="00FE752E"/>
    <w:rsid w:val="00FF2259"/>
    <w:rsid w:val="05651D6B"/>
    <w:rsid w:val="064F6575"/>
    <w:rsid w:val="09D86817"/>
    <w:rsid w:val="15CB6F9C"/>
    <w:rsid w:val="1FBE610A"/>
    <w:rsid w:val="214F21EB"/>
    <w:rsid w:val="23E57E56"/>
    <w:rsid w:val="28450C2F"/>
    <w:rsid w:val="2F424F98"/>
    <w:rsid w:val="30CE5415"/>
    <w:rsid w:val="3B0C59EE"/>
    <w:rsid w:val="3B3B1113"/>
    <w:rsid w:val="3ED9222C"/>
    <w:rsid w:val="41F45941"/>
    <w:rsid w:val="48B224D2"/>
    <w:rsid w:val="5246525C"/>
    <w:rsid w:val="54134879"/>
    <w:rsid w:val="55DB79EC"/>
    <w:rsid w:val="5B2B3222"/>
    <w:rsid w:val="6A6362C3"/>
    <w:rsid w:val="6AFE6DF4"/>
    <w:rsid w:val="70C25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357"/>
      <w:jc w:val="both"/>
    </w:pPr>
    <w:rPr>
      <w:rFonts w:ascii="Times New Roman" w:hAnsi="Times New Roman" w:eastAsia="Times New Roman" w:cs="Times New Roman"/>
      <w:lang w:val="id-ID" w:eastAsia="en-US" w:bidi="ar-SA"/>
    </w:rPr>
  </w:style>
  <w:style w:type="paragraph" w:styleId="2">
    <w:name w:val="heading 1"/>
    <w:basedOn w:val="1"/>
    <w:next w:val="1"/>
    <w:link w:val="21"/>
    <w:qFormat/>
    <w:uiPriority w:val="9"/>
    <w:pPr>
      <w:keepNext/>
      <w:numPr>
        <w:ilvl w:val="0"/>
        <w:numId w:val="1"/>
      </w:numPr>
      <w:spacing w:before="180" w:after="60"/>
      <w:jc w:val="center"/>
      <w:outlineLvl w:val="0"/>
    </w:pPr>
    <w:rPr>
      <w:b/>
      <w:bCs/>
      <w:smallCaps/>
      <w:kern w:val="32"/>
      <w:lang w:eastAsia="zh-CN"/>
    </w:rPr>
  </w:style>
  <w:style w:type="paragraph" w:styleId="3">
    <w:name w:val="heading 2"/>
    <w:basedOn w:val="1"/>
    <w:next w:val="1"/>
    <w:link w:val="40"/>
    <w:unhideWhenUsed/>
    <w:qFormat/>
    <w:uiPriority w:val="9"/>
    <w:pPr>
      <w:keepNext/>
      <w:keepLines/>
      <w:numPr>
        <w:ilvl w:val="0"/>
        <w:numId w:val="2"/>
      </w:numPr>
      <w:spacing w:before="150" w:after="60"/>
      <w:jc w:val="left"/>
      <w:outlineLvl w:val="1"/>
    </w:pPr>
    <w:rPr>
      <w:b/>
      <w:bCs/>
      <w:color w:val="000000"/>
      <w:lang w:eastAsia="zh-CN"/>
    </w:rPr>
  </w:style>
  <w:style w:type="paragraph" w:styleId="4">
    <w:name w:val="heading 3"/>
    <w:basedOn w:val="1"/>
    <w:next w:val="1"/>
    <w:link w:val="46"/>
    <w:unhideWhenUsed/>
    <w:qFormat/>
    <w:uiPriority w:val="9"/>
    <w:pPr>
      <w:keepNext/>
      <w:numPr>
        <w:ilvl w:val="0"/>
        <w:numId w:val="3"/>
      </w:numPr>
      <w:spacing w:before="120" w:after="60"/>
      <w:outlineLvl w:val="2"/>
    </w:pPr>
    <w:rPr>
      <w:bCs/>
      <w:i/>
      <w:lang w:eastAsia="zh-CN"/>
    </w:rPr>
  </w:style>
  <w:style w:type="paragraph" w:styleId="5">
    <w:name w:val="heading 4"/>
    <w:basedOn w:val="6"/>
    <w:next w:val="1"/>
    <w:link w:val="48"/>
    <w:unhideWhenUsed/>
    <w:qFormat/>
    <w:uiPriority w:val="9"/>
    <w:pPr>
      <w:numPr>
        <w:ilvl w:val="0"/>
        <w:numId w:val="4"/>
      </w:numPr>
      <w:spacing w:before="120" w:after="60"/>
      <w:ind w:left="714" w:hanging="357"/>
      <w:outlineLvl w:val="3"/>
    </w:pPr>
    <w:rPr>
      <w:i/>
      <w:lang w:eastAsia="zh-CN"/>
    </w:rPr>
  </w:style>
  <w:style w:type="character" w:default="1" w:styleId="7">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6">
    <w:name w:val="List Paragraph"/>
    <w:basedOn w:val="1"/>
    <w:qFormat/>
    <w:uiPriority w:val="34"/>
    <w:pPr>
      <w:ind w:firstLine="0"/>
      <w:contextualSpacing/>
    </w:pPr>
    <w:rPr>
      <w:rFonts w:eastAsia="Calibri"/>
      <w:lang w:val="en-AU"/>
    </w:rPr>
  </w:style>
  <w:style w:type="paragraph" w:styleId="9">
    <w:name w:val="Balloon Text"/>
    <w:basedOn w:val="1"/>
    <w:link w:val="39"/>
    <w:semiHidden/>
    <w:unhideWhenUsed/>
    <w:qFormat/>
    <w:uiPriority w:val="99"/>
    <w:rPr>
      <w:rFonts w:ascii="Tahoma" w:hAnsi="Tahoma"/>
      <w:sz w:val="16"/>
      <w:szCs w:val="16"/>
      <w:lang w:eastAsia="zh-CN"/>
    </w:rPr>
  </w:style>
  <w:style w:type="paragraph" w:styleId="10">
    <w:name w:val="Body Text Indent"/>
    <w:basedOn w:val="1"/>
    <w:link w:val="60"/>
    <w:uiPriority w:val="0"/>
    <w:pPr>
      <w:spacing w:line="360" w:lineRule="auto"/>
      <w:ind w:left="720" w:firstLine="0"/>
    </w:pPr>
    <w:rPr>
      <w:sz w:val="24"/>
      <w:szCs w:val="24"/>
      <w:lang w:val="en-GB" w:eastAsia="zh-CN"/>
    </w:rPr>
  </w:style>
  <w:style w:type="character" w:styleId="11">
    <w:name w:val="Emphasis"/>
    <w:qFormat/>
    <w:uiPriority w:val="20"/>
    <w:rPr>
      <w:i/>
      <w:iCs/>
    </w:rPr>
  </w:style>
  <w:style w:type="character" w:styleId="12">
    <w:name w:val="FollowedHyperlink"/>
    <w:basedOn w:val="7"/>
    <w:semiHidden/>
    <w:unhideWhenUsed/>
    <w:qFormat/>
    <w:uiPriority w:val="99"/>
    <w:rPr>
      <w:color w:val="800080" w:themeColor="followedHyperlink"/>
      <w:u w:val="single"/>
      <w14:textFill>
        <w14:solidFill>
          <w14:schemeClr w14:val="folHlink"/>
        </w14:solidFill>
      </w14:textFill>
    </w:rPr>
  </w:style>
  <w:style w:type="paragraph" w:styleId="13">
    <w:name w:val="footer"/>
    <w:basedOn w:val="1"/>
    <w:link w:val="33"/>
    <w:unhideWhenUsed/>
    <w:qFormat/>
    <w:uiPriority w:val="99"/>
    <w:pPr>
      <w:tabs>
        <w:tab w:val="center" w:pos="4680"/>
        <w:tab w:val="right" w:pos="9360"/>
      </w:tabs>
    </w:pPr>
    <w:rPr>
      <w:lang w:eastAsia="zh-CN"/>
    </w:rPr>
  </w:style>
  <w:style w:type="character" w:styleId="14">
    <w:name w:val="footnote reference"/>
    <w:semiHidden/>
    <w:unhideWhenUsed/>
    <w:qFormat/>
    <w:uiPriority w:val="99"/>
    <w:rPr>
      <w:vertAlign w:val="superscript"/>
    </w:rPr>
  </w:style>
  <w:style w:type="paragraph" w:styleId="15">
    <w:name w:val="footnote text"/>
    <w:basedOn w:val="1"/>
    <w:link w:val="59"/>
    <w:semiHidden/>
    <w:unhideWhenUsed/>
    <w:qFormat/>
    <w:uiPriority w:val="99"/>
    <w:rPr>
      <w:lang w:eastAsia="zh-CN"/>
    </w:rPr>
  </w:style>
  <w:style w:type="paragraph" w:styleId="16">
    <w:name w:val="header"/>
    <w:basedOn w:val="1"/>
    <w:link w:val="32"/>
    <w:unhideWhenUsed/>
    <w:qFormat/>
    <w:uiPriority w:val="99"/>
    <w:pPr>
      <w:tabs>
        <w:tab w:val="center" w:pos="4680"/>
        <w:tab w:val="right" w:pos="9360"/>
      </w:tabs>
    </w:pPr>
    <w:rPr>
      <w:lang w:eastAsia="zh-CN"/>
    </w:rPr>
  </w:style>
  <w:style w:type="character" w:styleId="17">
    <w:name w:val="Hyperlink"/>
    <w:unhideWhenUsed/>
    <w:qFormat/>
    <w:uiPriority w:val="99"/>
    <w:rPr>
      <w:color w:val="0000FF"/>
      <w:u w:val="single"/>
    </w:rPr>
  </w:style>
  <w:style w:type="paragraph" w:styleId="18">
    <w:name w:val="Subtitle"/>
    <w:basedOn w:val="1"/>
    <w:next w:val="1"/>
    <w:link w:val="69"/>
    <w:qFormat/>
    <w:uiPriority w:val="11"/>
    <w:pPr>
      <w:ind w:firstLine="357"/>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1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link w:val="36"/>
    <w:qFormat/>
    <w:uiPriority w:val="10"/>
    <w:pPr>
      <w:spacing w:after="120"/>
      <w:ind w:firstLine="0"/>
      <w:jc w:val="center"/>
    </w:pPr>
    <w:rPr>
      <w:b/>
      <w:bCs/>
      <w:kern w:val="28"/>
      <w:sz w:val="36"/>
      <w:szCs w:val="36"/>
      <w:lang w:eastAsia="zh-CN"/>
    </w:rPr>
  </w:style>
  <w:style w:type="character" w:customStyle="1" w:styleId="21">
    <w:name w:val="Heading 1 Char"/>
    <w:link w:val="2"/>
    <w:qFormat/>
    <w:uiPriority w:val="9"/>
    <w:rPr>
      <w:rFonts w:ascii="Times New Roman" w:hAnsi="Times New Roman" w:eastAsia="Times New Roman"/>
      <w:b/>
      <w:bCs/>
      <w:smallCaps/>
      <w:kern w:val="32"/>
      <w:lang w:val="id-ID" w:eastAsia="zh-CN"/>
    </w:rPr>
  </w:style>
  <w:style w:type="paragraph" w:customStyle="1" w:styleId="22">
    <w:name w:val="icsm_bodytext"/>
    <w:basedOn w:val="1"/>
    <w:qFormat/>
    <w:uiPriority w:val="0"/>
    <w:pPr>
      <w:ind w:firstLine="240"/>
    </w:pPr>
  </w:style>
  <w:style w:type="paragraph" w:customStyle="1" w:styleId="23">
    <w:name w:val="icsm_heading1"/>
    <w:basedOn w:val="1"/>
    <w:qFormat/>
    <w:uiPriority w:val="0"/>
    <w:pPr>
      <w:numPr>
        <w:ilvl w:val="0"/>
        <w:numId w:val="5"/>
      </w:numPr>
      <w:spacing w:after="120"/>
      <w:ind w:left="357" w:hanging="357"/>
      <w:outlineLvl w:val="0"/>
    </w:pPr>
    <w:rPr>
      <w:b/>
    </w:rPr>
  </w:style>
  <w:style w:type="paragraph" w:customStyle="1" w:styleId="24">
    <w:name w:val="icsm_heading2"/>
    <w:basedOn w:val="1"/>
    <w:qFormat/>
    <w:uiPriority w:val="0"/>
    <w:pPr>
      <w:numPr>
        <w:ilvl w:val="0"/>
        <w:numId w:val="6"/>
      </w:numPr>
      <w:spacing w:before="120" w:after="120"/>
      <w:ind w:left="357" w:hanging="357"/>
      <w:jc w:val="left"/>
    </w:pPr>
    <w:rPr>
      <w:b/>
    </w:rPr>
  </w:style>
  <w:style w:type="paragraph" w:customStyle="1" w:styleId="25">
    <w:name w:val="icsm_tabletext"/>
    <w:basedOn w:val="22"/>
    <w:qFormat/>
    <w:uiPriority w:val="0"/>
    <w:pPr>
      <w:spacing w:before="40"/>
      <w:ind w:firstLine="0"/>
      <w:jc w:val="left"/>
    </w:pPr>
    <w:rPr>
      <w:sz w:val="16"/>
    </w:rPr>
  </w:style>
  <w:style w:type="paragraph" w:customStyle="1" w:styleId="26">
    <w:name w:val="icsm_figurecaption"/>
    <w:basedOn w:val="1"/>
    <w:qFormat/>
    <w:uiPriority w:val="0"/>
    <w:pPr>
      <w:spacing w:before="200" w:after="240"/>
      <w:jc w:val="center"/>
    </w:pPr>
    <w:rPr>
      <w:sz w:val="16"/>
    </w:rPr>
  </w:style>
  <w:style w:type="paragraph" w:customStyle="1" w:styleId="27">
    <w:name w:val="icsm_addresses"/>
    <w:basedOn w:val="1"/>
    <w:link w:val="44"/>
    <w:qFormat/>
    <w:uiPriority w:val="0"/>
    <w:pPr>
      <w:spacing w:after="120"/>
      <w:jc w:val="center"/>
    </w:pPr>
    <w:rPr>
      <w:i/>
      <w:sz w:val="16"/>
      <w:lang w:eastAsia="zh-CN"/>
    </w:rPr>
  </w:style>
  <w:style w:type="paragraph" w:customStyle="1" w:styleId="28">
    <w:name w:val="icsm_keywords"/>
    <w:basedOn w:val="1"/>
    <w:qFormat/>
    <w:uiPriority w:val="0"/>
    <w:rPr>
      <w:sz w:val="16"/>
    </w:rPr>
  </w:style>
  <w:style w:type="paragraph" w:customStyle="1" w:styleId="29">
    <w:name w:val="icsm_references"/>
    <w:basedOn w:val="1"/>
    <w:qFormat/>
    <w:uiPriority w:val="0"/>
    <w:pPr>
      <w:ind w:left="240" w:hanging="240"/>
    </w:pPr>
    <w:rPr>
      <w:sz w:val="16"/>
    </w:rPr>
  </w:style>
  <w:style w:type="paragraph" w:customStyle="1" w:styleId="30">
    <w:name w:val="icsm_heading3"/>
    <w:basedOn w:val="1"/>
    <w:qFormat/>
    <w:uiPriority w:val="0"/>
    <w:pPr>
      <w:spacing w:before="240"/>
    </w:pPr>
    <w:rPr>
      <w:i/>
    </w:rPr>
  </w:style>
  <w:style w:type="paragraph" w:customStyle="1" w:styleId="31">
    <w:name w:val="op_2005"/>
    <w:basedOn w:val="1"/>
    <w:qFormat/>
    <w:uiPriority w:val="0"/>
    <w:pPr>
      <w:tabs>
        <w:tab w:val="left" w:pos="2520"/>
      </w:tabs>
      <w:spacing w:after="200"/>
      <w:jc w:val="center"/>
    </w:pPr>
    <w:rPr>
      <w:sz w:val="16"/>
    </w:rPr>
  </w:style>
  <w:style w:type="character" w:customStyle="1" w:styleId="32">
    <w:name w:val="Header Char"/>
    <w:link w:val="16"/>
    <w:qFormat/>
    <w:uiPriority w:val="99"/>
    <w:rPr>
      <w:rFonts w:ascii="Times New Roman" w:hAnsi="Times New Roman" w:eastAsia="Times New Roman" w:cs="Times New Roman"/>
      <w:sz w:val="20"/>
      <w:szCs w:val="20"/>
      <w:lang w:val="id-ID"/>
    </w:rPr>
  </w:style>
  <w:style w:type="character" w:customStyle="1" w:styleId="33">
    <w:name w:val="Footer Char"/>
    <w:link w:val="13"/>
    <w:qFormat/>
    <w:uiPriority w:val="99"/>
    <w:rPr>
      <w:rFonts w:ascii="Times New Roman" w:hAnsi="Times New Roman" w:eastAsia="Times New Roman" w:cs="Times New Roman"/>
      <w:sz w:val="20"/>
      <w:szCs w:val="20"/>
      <w:lang w:val="id-ID"/>
    </w:rPr>
  </w:style>
  <w:style w:type="character" w:customStyle="1" w:styleId="34">
    <w:name w:val="long_text"/>
    <w:qFormat/>
    <w:uiPriority w:val="0"/>
  </w:style>
  <w:style w:type="character" w:customStyle="1" w:styleId="35">
    <w:name w:val="hps"/>
    <w:qFormat/>
    <w:uiPriority w:val="0"/>
  </w:style>
  <w:style w:type="character" w:customStyle="1" w:styleId="36">
    <w:name w:val="Title Char"/>
    <w:link w:val="20"/>
    <w:qFormat/>
    <w:uiPriority w:val="10"/>
    <w:rPr>
      <w:rFonts w:ascii="Times New Roman" w:hAnsi="Times New Roman" w:eastAsia="Times New Roman"/>
      <w:b/>
      <w:bCs/>
      <w:kern w:val="28"/>
      <w:sz w:val="36"/>
      <w:szCs w:val="36"/>
      <w:lang w:val="id-ID"/>
    </w:rPr>
  </w:style>
  <w:style w:type="paragraph" w:customStyle="1" w:styleId="37">
    <w:name w:val="Text"/>
    <w:basedOn w:val="1"/>
    <w:link w:val="52"/>
    <w:qFormat/>
    <w:uiPriority w:val="0"/>
    <w:pPr>
      <w:widowControl w:val="0"/>
      <w:autoSpaceDE w:val="0"/>
      <w:autoSpaceDN w:val="0"/>
      <w:spacing w:line="252" w:lineRule="auto"/>
      <w:ind w:firstLine="202"/>
    </w:pPr>
    <w:rPr>
      <w:lang w:val="zh-CN" w:eastAsia="zh-CN"/>
    </w:rPr>
  </w:style>
  <w:style w:type="table" w:customStyle="1" w:styleId="38">
    <w:name w:val="Light List1"/>
    <w:basedOn w:val="8"/>
    <w:qFormat/>
    <w:uiPriority w:val="61"/>
    <w:rPr>
      <w:lang w:val="en-AU"/>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39">
    <w:name w:val="Balloon Text Char"/>
    <w:link w:val="9"/>
    <w:semiHidden/>
    <w:qFormat/>
    <w:uiPriority w:val="99"/>
    <w:rPr>
      <w:rFonts w:ascii="Tahoma" w:hAnsi="Tahoma" w:eastAsia="Times New Roman" w:cs="Tahoma"/>
      <w:sz w:val="16"/>
      <w:szCs w:val="16"/>
      <w:lang w:val="id-ID"/>
    </w:rPr>
  </w:style>
  <w:style w:type="character" w:customStyle="1" w:styleId="40">
    <w:name w:val="Heading 2 Char"/>
    <w:link w:val="3"/>
    <w:qFormat/>
    <w:uiPriority w:val="9"/>
    <w:rPr>
      <w:rFonts w:ascii="Times New Roman" w:hAnsi="Times New Roman" w:eastAsia="Times New Roman"/>
      <w:b/>
      <w:bCs/>
      <w:color w:val="000000"/>
      <w:lang w:val="id-ID" w:eastAsia="zh-CN"/>
    </w:rPr>
  </w:style>
  <w:style w:type="paragraph" w:customStyle="1" w:styleId="41">
    <w:name w:val="Author Name"/>
    <w:basedOn w:val="1"/>
    <w:link w:val="43"/>
    <w:qFormat/>
    <w:uiPriority w:val="0"/>
    <w:pPr>
      <w:spacing w:after="120"/>
      <w:ind w:firstLine="0"/>
      <w:jc w:val="center"/>
    </w:pPr>
    <w:rPr>
      <w:b/>
      <w:sz w:val="26"/>
      <w:szCs w:val="26"/>
      <w:lang w:eastAsia="zh-CN"/>
    </w:rPr>
  </w:style>
  <w:style w:type="paragraph" w:customStyle="1" w:styleId="42">
    <w:name w:val="Author Afiliation"/>
    <w:basedOn w:val="27"/>
    <w:link w:val="45"/>
    <w:qFormat/>
    <w:uiPriority w:val="0"/>
    <w:pPr>
      <w:spacing w:after="0"/>
      <w:ind w:firstLine="0"/>
    </w:pPr>
  </w:style>
  <w:style w:type="character" w:customStyle="1" w:styleId="43">
    <w:name w:val="Author Name Char"/>
    <w:link w:val="41"/>
    <w:qFormat/>
    <w:uiPriority w:val="0"/>
    <w:rPr>
      <w:rFonts w:ascii="Times New Roman" w:hAnsi="Times New Roman" w:eastAsia="Times New Roman"/>
      <w:b/>
      <w:sz w:val="26"/>
      <w:szCs w:val="26"/>
      <w:lang w:val="id-ID"/>
    </w:rPr>
  </w:style>
  <w:style w:type="character" w:customStyle="1" w:styleId="44">
    <w:name w:val="icsm_addresses Char"/>
    <w:link w:val="27"/>
    <w:qFormat/>
    <w:uiPriority w:val="0"/>
    <w:rPr>
      <w:rFonts w:ascii="Times New Roman" w:hAnsi="Times New Roman" w:eastAsia="Times New Roman"/>
      <w:i/>
      <w:sz w:val="16"/>
      <w:lang w:val="id-ID"/>
    </w:rPr>
  </w:style>
  <w:style w:type="character" w:customStyle="1" w:styleId="45">
    <w:name w:val="Author Afiliation Char"/>
    <w:basedOn w:val="44"/>
    <w:link w:val="42"/>
    <w:qFormat/>
    <w:uiPriority w:val="0"/>
    <w:rPr>
      <w:rFonts w:ascii="Times New Roman" w:hAnsi="Times New Roman" w:eastAsia="Times New Roman"/>
      <w:sz w:val="16"/>
      <w:lang w:val="id-ID"/>
    </w:rPr>
  </w:style>
  <w:style w:type="character" w:customStyle="1" w:styleId="46">
    <w:name w:val="Heading 3 Char"/>
    <w:link w:val="4"/>
    <w:qFormat/>
    <w:uiPriority w:val="9"/>
    <w:rPr>
      <w:rFonts w:ascii="Times New Roman" w:hAnsi="Times New Roman" w:eastAsia="Times New Roman"/>
      <w:bCs/>
      <w:i/>
      <w:lang w:val="id-ID" w:eastAsia="zh-CN"/>
    </w:rPr>
  </w:style>
  <w:style w:type="paragraph" w:customStyle="1" w:styleId="47">
    <w:name w:val="Table Heading"/>
    <w:basedOn w:val="1"/>
    <w:link w:val="49"/>
    <w:qFormat/>
    <w:uiPriority w:val="0"/>
    <w:pPr>
      <w:ind w:firstLine="0"/>
      <w:jc w:val="center"/>
    </w:pPr>
    <w:rPr>
      <w:smallCaps/>
      <w:sz w:val="16"/>
      <w:lang w:val="zh-CN" w:eastAsia="zh-CN"/>
    </w:rPr>
  </w:style>
  <w:style w:type="character" w:customStyle="1" w:styleId="48">
    <w:name w:val="Heading 4 Char"/>
    <w:link w:val="5"/>
    <w:qFormat/>
    <w:uiPriority w:val="9"/>
    <w:rPr>
      <w:rFonts w:ascii="Times New Roman" w:hAnsi="Times New Roman"/>
      <w:i/>
      <w:lang w:val="en-AU" w:eastAsia="zh-CN"/>
    </w:rPr>
  </w:style>
  <w:style w:type="character" w:customStyle="1" w:styleId="49">
    <w:name w:val="Table Heading Char"/>
    <w:link w:val="47"/>
    <w:qFormat/>
    <w:uiPriority w:val="0"/>
    <w:rPr>
      <w:rFonts w:ascii="Times New Roman" w:hAnsi="Times New Roman" w:eastAsia="Times New Roman"/>
      <w:smallCaps/>
      <w:sz w:val="16"/>
    </w:rPr>
  </w:style>
  <w:style w:type="paragraph" w:customStyle="1" w:styleId="50">
    <w:name w:val="Figure Heading"/>
    <w:basedOn w:val="37"/>
    <w:link w:val="53"/>
    <w:qFormat/>
    <w:uiPriority w:val="0"/>
    <w:pPr>
      <w:ind w:firstLine="0"/>
      <w:jc w:val="center"/>
    </w:pPr>
    <w:rPr>
      <w:sz w:val="16"/>
      <w:szCs w:val="16"/>
    </w:rPr>
  </w:style>
  <w:style w:type="character" w:customStyle="1" w:styleId="51">
    <w:name w:val="atn"/>
    <w:qFormat/>
    <w:uiPriority w:val="0"/>
  </w:style>
  <w:style w:type="character" w:customStyle="1" w:styleId="52">
    <w:name w:val="Text Char"/>
    <w:link w:val="37"/>
    <w:qFormat/>
    <w:uiPriority w:val="0"/>
    <w:rPr>
      <w:rFonts w:ascii="Times New Roman" w:hAnsi="Times New Roman" w:eastAsia="Times New Roman"/>
    </w:rPr>
  </w:style>
  <w:style w:type="character" w:customStyle="1" w:styleId="53">
    <w:name w:val="Figure Heading Char"/>
    <w:link w:val="50"/>
    <w:qFormat/>
    <w:uiPriority w:val="0"/>
    <w:rPr>
      <w:rFonts w:ascii="Times New Roman" w:hAnsi="Times New Roman" w:eastAsia="Times New Roman"/>
      <w:sz w:val="16"/>
      <w:szCs w:val="16"/>
    </w:rPr>
  </w:style>
  <w:style w:type="paragraph" w:customStyle="1" w:styleId="54">
    <w:name w:val="IEEE Heading 2"/>
    <w:basedOn w:val="1"/>
    <w:next w:val="55"/>
    <w:qFormat/>
    <w:uiPriority w:val="0"/>
    <w:pPr>
      <w:numPr>
        <w:ilvl w:val="0"/>
        <w:numId w:val="7"/>
      </w:numPr>
      <w:adjustRightInd w:val="0"/>
      <w:snapToGrid w:val="0"/>
      <w:spacing w:before="150" w:after="60"/>
      <w:ind w:left="289" w:hanging="289"/>
      <w:jc w:val="left"/>
    </w:pPr>
    <w:rPr>
      <w:rFonts w:eastAsia="SimSun"/>
      <w:i/>
      <w:szCs w:val="24"/>
      <w:lang w:val="en-AU" w:eastAsia="zh-CN"/>
    </w:rPr>
  </w:style>
  <w:style w:type="paragraph" w:customStyle="1" w:styleId="55">
    <w:name w:val="IEEE Paragraph"/>
    <w:basedOn w:val="1"/>
    <w:link w:val="57"/>
    <w:qFormat/>
    <w:uiPriority w:val="0"/>
    <w:pPr>
      <w:adjustRightInd w:val="0"/>
      <w:snapToGrid w:val="0"/>
      <w:ind w:firstLine="216"/>
    </w:pPr>
    <w:rPr>
      <w:rFonts w:eastAsia="SimSun"/>
      <w:szCs w:val="24"/>
      <w:lang w:val="en-AU" w:eastAsia="zh-CN"/>
    </w:rPr>
  </w:style>
  <w:style w:type="paragraph" w:customStyle="1" w:styleId="56">
    <w:name w:val="IEEE Heading 1"/>
    <w:basedOn w:val="1"/>
    <w:next w:val="55"/>
    <w:qFormat/>
    <w:uiPriority w:val="0"/>
    <w:pPr>
      <w:numPr>
        <w:ilvl w:val="0"/>
        <w:numId w:val="8"/>
      </w:numPr>
      <w:adjustRightInd w:val="0"/>
      <w:snapToGrid w:val="0"/>
      <w:spacing w:before="180" w:after="60"/>
      <w:ind w:left="289" w:hanging="289"/>
      <w:jc w:val="center"/>
    </w:pPr>
    <w:rPr>
      <w:rFonts w:eastAsia="SimSun"/>
      <w:smallCaps/>
      <w:szCs w:val="24"/>
      <w:lang w:val="en-AU" w:eastAsia="zh-CN"/>
    </w:rPr>
  </w:style>
  <w:style w:type="character" w:customStyle="1" w:styleId="57">
    <w:name w:val="IEEE Paragraph Char"/>
    <w:link w:val="55"/>
    <w:qFormat/>
    <w:uiPriority w:val="0"/>
    <w:rPr>
      <w:rFonts w:ascii="Times New Roman" w:hAnsi="Times New Roman" w:eastAsia="SimSun"/>
      <w:szCs w:val="24"/>
      <w:lang w:val="en-AU" w:eastAsia="zh-CN"/>
    </w:rPr>
  </w:style>
  <w:style w:type="paragraph" w:customStyle="1" w:styleId="58">
    <w:name w:val="IEEE Reference Item"/>
    <w:basedOn w:val="1"/>
    <w:qFormat/>
    <w:uiPriority w:val="0"/>
    <w:pPr>
      <w:tabs>
        <w:tab w:val="left" w:pos="432"/>
      </w:tabs>
      <w:adjustRightInd w:val="0"/>
      <w:snapToGrid w:val="0"/>
      <w:ind w:left="432" w:hanging="432"/>
    </w:pPr>
    <w:rPr>
      <w:rFonts w:eastAsia="SimSun"/>
      <w:sz w:val="16"/>
      <w:szCs w:val="24"/>
      <w:lang w:val="en-US" w:eastAsia="zh-CN"/>
    </w:rPr>
  </w:style>
  <w:style w:type="character" w:customStyle="1" w:styleId="59">
    <w:name w:val="Footnote Text Char"/>
    <w:link w:val="15"/>
    <w:semiHidden/>
    <w:qFormat/>
    <w:uiPriority w:val="99"/>
    <w:rPr>
      <w:rFonts w:ascii="Times New Roman" w:hAnsi="Times New Roman" w:eastAsia="Times New Roman"/>
      <w:lang w:val="id-ID"/>
    </w:rPr>
  </w:style>
  <w:style w:type="character" w:customStyle="1" w:styleId="60">
    <w:name w:val="Body Text Indent Char"/>
    <w:link w:val="10"/>
    <w:uiPriority w:val="0"/>
    <w:rPr>
      <w:rFonts w:ascii="Times New Roman" w:hAnsi="Times New Roman" w:eastAsia="Times New Roman"/>
      <w:sz w:val="24"/>
      <w:szCs w:val="24"/>
      <w:lang w:val="en-GB"/>
    </w:rPr>
  </w:style>
  <w:style w:type="paragraph" w:customStyle="1" w:styleId="61">
    <w:name w:val="IEEE Abstract Heading"/>
    <w:basedOn w:val="62"/>
    <w:next w:val="62"/>
    <w:link w:val="63"/>
    <w:qFormat/>
    <w:uiPriority w:val="0"/>
    <w:rPr>
      <w:i/>
    </w:rPr>
  </w:style>
  <w:style w:type="paragraph" w:customStyle="1" w:styleId="62">
    <w:name w:val="IEEE Abtract"/>
    <w:basedOn w:val="1"/>
    <w:next w:val="1"/>
    <w:link w:val="64"/>
    <w:qFormat/>
    <w:uiPriority w:val="0"/>
    <w:pPr>
      <w:adjustRightInd w:val="0"/>
      <w:snapToGrid w:val="0"/>
      <w:ind w:firstLine="0"/>
    </w:pPr>
    <w:rPr>
      <w:rFonts w:eastAsia="SimSun"/>
      <w:b/>
      <w:sz w:val="18"/>
      <w:szCs w:val="24"/>
      <w:lang w:val="en-GB" w:eastAsia="en-GB"/>
    </w:rPr>
  </w:style>
  <w:style w:type="character" w:customStyle="1" w:styleId="63">
    <w:name w:val="IEEE Abstract Heading Char"/>
    <w:link w:val="61"/>
    <w:qFormat/>
    <w:uiPriority w:val="0"/>
    <w:rPr>
      <w:rFonts w:ascii="Times New Roman" w:hAnsi="Times New Roman" w:eastAsia="SimSun"/>
      <w:b/>
      <w:i/>
      <w:sz w:val="18"/>
      <w:szCs w:val="24"/>
      <w:lang w:val="en-GB" w:eastAsia="en-GB"/>
    </w:rPr>
  </w:style>
  <w:style w:type="character" w:customStyle="1" w:styleId="64">
    <w:name w:val="IEEE Abtract Char"/>
    <w:link w:val="62"/>
    <w:qFormat/>
    <w:uiPriority w:val="0"/>
    <w:rPr>
      <w:rFonts w:ascii="Times New Roman" w:hAnsi="Times New Roman" w:eastAsia="SimSun"/>
      <w:b/>
      <w:sz w:val="18"/>
      <w:szCs w:val="24"/>
      <w:lang w:val="en-GB" w:eastAsia="en-GB"/>
    </w:rPr>
  </w:style>
  <w:style w:type="paragraph" w:customStyle="1" w:styleId="65">
    <w:name w:val="icsm_abstract"/>
    <w:basedOn w:val="1"/>
    <w:qFormat/>
    <w:uiPriority w:val="0"/>
    <w:pPr>
      <w:spacing w:after="220"/>
      <w:ind w:firstLine="240"/>
    </w:pPr>
    <w:rPr>
      <w:sz w:val="18"/>
      <w:lang w:val="en-GB"/>
    </w:rPr>
  </w:style>
  <w:style w:type="character" w:customStyle="1" w:styleId="66">
    <w:name w:val="st"/>
    <w:qFormat/>
    <w:uiPriority w:val="0"/>
  </w:style>
  <w:style w:type="character" w:styleId="67">
    <w:name w:val="Placeholder Text"/>
    <w:basedOn w:val="7"/>
    <w:semiHidden/>
    <w:qFormat/>
    <w:uiPriority w:val="99"/>
    <w:rPr>
      <w:color w:val="808080"/>
    </w:rPr>
  </w:style>
  <w:style w:type="character" w:customStyle="1" w:styleId="68">
    <w:name w:val="Subtle Emphasis"/>
    <w:basedOn w:val="7"/>
    <w:qFormat/>
    <w:uiPriority w:val="19"/>
    <w:rPr>
      <w:i/>
      <w:iCs/>
      <w:color w:val="808080" w:themeColor="text1" w:themeTint="80"/>
      <w14:textFill>
        <w14:solidFill>
          <w14:schemeClr w14:val="tx1">
            <w14:lumMod w14:val="50000"/>
            <w14:lumOff w14:val="50000"/>
          </w14:schemeClr>
        </w14:solidFill>
      </w14:textFill>
    </w:rPr>
  </w:style>
  <w:style w:type="character" w:customStyle="1" w:styleId="69">
    <w:name w:val="Subtitle Char"/>
    <w:basedOn w:val="7"/>
    <w:link w:val="18"/>
    <w:qFormat/>
    <w:uiPriority w:val="11"/>
    <w:rPr>
      <w:rFonts w:asciiTheme="majorHAnsi" w:hAnsiTheme="majorHAnsi" w:eastAsiaTheme="majorEastAsia" w:cstheme="majorBidi"/>
      <w:i/>
      <w:iCs/>
      <w:color w:val="4F81BD" w:themeColor="accent1"/>
      <w:spacing w:val="15"/>
      <w:sz w:val="24"/>
      <w:szCs w:val="24"/>
      <w:lang w:val="id-ID"/>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48D439-D82A-44DF-9F7C-935F610BB846}">
  <ds:schemaRefs/>
</ds:datastoreItem>
</file>

<file path=docProps/app.xml><?xml version="1.0" encoding="utf-8"?>
<Properties xmlns="http://schemas.openxmlformats.org/officeDocument/2006/extended-properties" xmlns:vt="http://schemas.openxmlformats.org/officeDocument/2006/docPropsVTypes">
  <Template>Normal.dotm</Template>
  <Company>Toshiba</Company>
  <Pages>8</Pages>
  <Words>5815</Words>
  <Characters>33898</Characters>
  <Lines>601</Lines>
  <Paragraphs>169</Paragraphs>
  <TotalTime>4375</TotalTime>
  <ScaleCrop>false</ScaleCrop>
  <LinksUpToDate>false</LinksUpToDate>
  <CharactersWithSpaces>42931</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2025-08-03T07:50:00Z</dcterms:created>
  <dc:creator>jet team</dc:creator>
  <cp:lastModifiedBy>WPS_1707970835</cp:lastModifiedBy>
  <dcterms:modified xsi:type="dcterms:W3CDTF">2025-12-27T06:40:10Z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0eca6f98-695c-3405-92a1-572b179b3b95</vt:lpwstr>
  </property>
  <property fmtid="{D5CDD505-2E9C-101B-9397-08002B2CF9AE}" pid="24" name="Mendeley Citation Style_1">
    <vt:lpwstr>http://www.zotero.org/styles/ieee</vt:lpwstr>
  </property>
  <property fmtid="{D5CDD505-2E9C-101B-9397-08002B2CF9AE}" pid="25" name="KSOProductBuildVer">
    <vt:lpwstr>1033-12.2.0.23155</vt:lpwstr>
  </property>
  <property fmtid="{D5CDD505-2E9C-101B-9397-08002B2CF9AE}" pid="26" name="ICV">
    <vt:lpwstr>60A90A89DBE647FDABFBBA54D06BBD8F_12</vt:lpwstr>
  </property>
</Properties>
</file>